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20E7" w14:textId="77777777" w:rsidR="001C3C86" w:rsidRDefault="001C3C86" w:rsidP="001C3C86"/>
    <w:p w14:paraId="12AB125E" w14:textId="77777777" w:rsidR="001C3C86" w:rsidRDefault="001C3C86" w:rsidP="001C3C86"/>
    <w:p w14:paraId="47EC4876" w14:textId="77777777" w:rsidR="001C3C86" w:rsidRDefault="001C3C86" w:rsidP="001C3C86"/>
    <w:p w14:paraId="4EA4A611" w14:textId="77777777" w:rsidR="001C3C86" w:rsidRDefault="001C3C86" w:rsidP="001C3C86"/>
    <w:p w14:paraId="1D83B3CB" w14:textId="77777777" w:rsidR="001C3C86" w:rsidRDefault="001C3C86" w:rsidP="001C3C86"/>
    <w:p w14:paraId="60952F83" w14:textId="77777777" w:rsidR="001C3C86" w:rsidRDefault="001C3C86" w:rsidP="001C3C86"/>
    <w:p w14:paraId="564C9A57" w14:textId="77777777" w:rsidR="001C3C86" w:rsidRDefault="001C3C86" w:rsidP="001C3C86"/>
    <w:p w14:paraId="53C9EF12" w14:textId="77777777" w:rsidR="001C3C86" w:rsidRDefault="001C3C86" w:rsidP="001C3C86"/>
    <w:p w14:paraId="04E55BDC" w14:textId="77777777" w:rsidR="001C3C86" w:rsidRDefault="001C3C86" w:rsidP="001C3C86"/>
    <w:p w14:paraId="6E01C3FC" w14:textId="77777777" w:rsidR="001C3C86" w:rsidRDefault="001C3C86" w:rsidP="001C3C86"/>
    <w:p w14:paraId="54C89C2C" w14:textId="77777777" w:rsidR="001C3C86" w:rsidRDefault="001C3C86" w:rsidP="001C3C86"/>
    <w:p w14:paraId="2F1C271E" w14:textId="77777777" w:rsidR="001C3C86" w:rsidRDefault="001C3C86" w:rsidP="001C3C86"/>
    <w:p w14:paraId="66156949" w14:textId="77777777" w:rsidR="001C3C86" w:rsidRDefault="001C3C86" w:rsidP="001C3C86"/>
    <w:p w14:paraId="5E7508FC" w14:textId="77777777" w:rsidR="001C3C86" w:rsidRDefault="001C3C86" w:rsidP="001C3C86"/>
    <w:p w14:paraId="4AE681DD" w14:textId="77777777" w:rsidR="001C3C86" w:rsidRDefault="001C3C86" w:rsidP="001C3C86"/>
    <w:p w14:paraId="0810DEB8" w14:textId="77777777" w:rsidR="001C3C86" w:rsidRDefault="001C3C86" w:rsidP="001C3C86"/>
    <w:p w14:paraId="0A3CEDBF" w14:textId="77777777" w:rsidR="001C3C86" w:rsidRDefault="001C3C86" w:rsidP="001C3C86"/>
    <w:p w14:paraId="5E797501" w14:textId="77777777" w:rsidR="001C3C86" w:rsidRDefault="001C3C86" w:rsidP="001C3C86"/>
    <w:p w14:paraId="748A7F2D" w14:textId="77777777" w:rsidR="001C3C86" w:rsidRDefault="001C3C86" w:rsidP="001C3C86"/>
    <w:p w14:paraId="003DDD0F" w14:textId="44E6AB59" w:rsidR="001C3C86" w:rsidRDefault="001C3C86" w:rsidP="001C3C86"/>
    <w:p w14:paraId="17C05B2F" w14:textId="77777777" w:rsidR="009A01E9" w:rsidRDefault="009A01E9" w:rsidP="001C3C86"/>
    <w:p w14:paraId="605637BA" w14:textId="77777777" w:rsidR="001C3C86" w:rsidRDefault="001C3C86" w:rsidP="001C3C86"/>
    <w:p w14:paraId="66A4CC03" w14:textId="77777777" w:rsidR="001C3C86" w:rsidRDefault="001C3C86" w:rsidP="001C3C86"/>
    <w:p w14:paraId="5B337777" w14:textId="77777777" w:rsidR="001C3C86" w:rsidRDefault="001C3C86" w:rsidP="001C3C86"/>
    <w:p w14:paraId="51DA4C9C" w14:textId="77777777" w:rsidR="009A01E9" w:rsidRDefault="009A01E9" w:rsidP="001C3C86"/>
    <w:p w14:paraId="6C26FF95" w14:textId="77777777" w:rsidR="001C3C86" w:rsidRDefault="001C3C86" w:rsidP="001C3C86"/>
    <w:p w14:paraId="2F27F097" w14:textId="1BE0DB35" w:rsidR="001C3C86" w:rsidRDefault="001C3C86" w:rsidP="009A01E9">
      <w:pPr>
        <w:spacing w:after="40"/>
      </w:pPr>
    </w:p>
    <w:tbl>
      <w:tblPr>
        <w:tblStyle w:val="Mkatabulky"/>
        <w:tblW w:w="5000" w:type="pct"/>
        <w:tblBorders>
          <w:top w:val="single" w:sz="18" w:space="0" w:color="auto"/>
          <w:left w:val="single" w:sz="18" w:space="0" w:color="auto"/>
          <w:bottom w:val="single" w:sz="18" w:space="0" w:color="auto"/>
          <w:right w:val="single" w:sz="18" w:space="0" w:color="auto"/>
        </w:tblBorders>
        <w:tblCellMar>
          <w:left w:w="85" w:type="dxa"/>
          <w:right w:w="57" w:type="dxa"/>
        </w:tblCellMar>
        <w:tblLook w:val="04A0" w:firstRow="1" w:lastRow="0" w:firstColumn="1" w:lastColumn="0" w:noHBand="0" w:noVBand="1"/>
      </w:tblPr>
      <w:tblGrid>
        <w:gridCol w:w="970"/>
        <w:gridCol w:w="850"/>
        <w:gridCol w:w="1794"/>
        <w:gridCol w:w="1805"/>
        <w:gridCol w:w="1805"/>
        <w:gridCol w:w="1802"/>
      </w:tblGrid>
      <w:tr w:rsidR="009A01E9" w14:paraId="4012EE1B" w14:textId="77777777" w:rsidTr="00F32A6B">
        <w:trPr>
          <w:trHeight w:val="257"/>
        </w:trPr>
        <w:tc>
          <w:tcPr>
            <w:tcW w:w="1008" w:type="pct"/>
            <w:gridSpan w:val="2"/>
            <w:tcBorders>
              <w:top w:val="single" w:sz="18" w:space="0" w:color="auto"/>
              <w:bottom w:val="single" w:sz="4" w:space="0" w:color="auto"/>
              <w:right w:val="single" w:sz="18" w:space="0" w:color="auto"/>
            </w:tcBorders>
          </w:tcPr>
          <w:p w14:paraId="1DD1A224" w14:textId="77777777" w:rsidR="009A01E9" w:rsidRPr="006038E5" w:rsidRDefault="009A01E9" w:rsidP="00F32A6B">
            <w:pPr>
              <w:rPr>
                <w:b/>
                <w:sz w:val="18"/>
                <w:szCs w:val="18"/>
              </w:rPr>
            </w:pPr>
            <w:r w:rsidRPr="006038E5">
              <w:rPr>
                <w:b/>
                <w:sz w:val="18"/>
                <w:szCs w:val="18"/>
              </w:rPr>
              <w:t>Kontroloval</w:t>
            </w:r>
          </w:p>
        </w:tc>
        <w:tc>
          <w:tcPr>
            <w:tcW w:w="994" w:type="pct"/>
            <w:tcBorders>
              <w:top w:val="single" w:sz="18" w:space="0" w:color="auto"/>
              <w:left w:val="single" w:sz="18" w:space="0" w:color="auto"/>
              <w:bottom w:val="single" w:sz="4" w:space="0" w:color="auto"/>
              <w:right w:val="single" w:sz="18" w:space="0" w:color="auto"/>
            </w:tcBorders>
          </w:tcPr>
          <w:p w14:paraId="0E46066A" w14:textId="77777777" w:rsidR="009A01E9" w:rsidRPr="006038E5" w:rsidRDefault="009A01E9" w:rsidP="00F32A6B">
            <w:pPr>
              <w:rPr>
                <w:b/>
                <w:sz w:val="18"/>
                <w:szCs w:val="18"/>
              </w:rPr>
            </w:pPr>
            <w:r w:rsidRPr="006038E5">
              <w:rPr>
                <w:b/>
                <w:sz w:val="18"/>
                <w:szCs w:val="18"/>
              </w:rPr>
              <w:t>Vypracoval</w:t>
            </w:r>
          </w:p>
        </w:tc>
        <w:tc>
          <w:tcPr>
            <w:tcW w:w="1000" w:type="pct"/>
            <w:tcBorders>
              <w:top w:val="single" w:sz="18" w:space="0" w:color="auto"/>
              <w:left w:val="single" w:sz="18" w:space="0" w:color="auto"/>
              <w:bottom w:val="single" w:sz="4" w:space="0" w:color="auto"/>
              <w:right w:val="single" w:sz="18" w:space="0" w:color="auto"/>
            </w:tcBorders>
          </w:tcPr>
          <w:p w14:paraId="2F70C0FD" w14:textId="77777777" w:rsidR="009A01E9" w:rsidRPr="006038E5" w:rsidRDefault="009A01E9" w:rsidP="00F32A6B">
            <w:pPr>
              <w:rPr>
                <w:b/>
                <w:sz w:val="18"/>
                <w:szCs w:val="18"/>
              </w:rPr>
            </w:pPr>
            <w:r w:rsidRPr="006038E5">
              <w:rPr>
                <w:b/>
                <w:sz w:val="18"/>
                <w:szCs w:val="18"/>
              </w:rPr>
              <w:t>Kreslil</w:t>
            </w:r>
          </w:p>
        </w:tc>
        <w:tc>
          <w:tcPr>
            <w:tcW w:w="1998" w:type="pct"/>
            <w:gridSpan w:val="2"/>
            <w:vMerge w:val="restart"/>
            <w:tcBorders>
              <w:left w:val="single" w:sz="18" w:space="0" w:color="auto"/>
            </w:tcBorders>
            <w:vAlign w:val="center"/>
          </w:tcPr>
          <w:p w14:paraId="13A87165" w14:textId="77777777" w:rsidR="009A01E9" w:rsidRPr="00A217CC" w:rsidRDefault="009A01E9" w:rsidP="00F32A6B">
            <w:pPr>
              <w:jc w:val="center"/>
              <w:rPr>
                <w:w w:val="80"/>
              </w:rPr>
            </w:pPr>
            <w:r w:rsidRPr="00A00E83">
              <w:rPr>
                <w:rFonts w:cs="Times New Roman"/>
                <w:noProof/>
              </w:rPr>
              <w:drawing>
                <wp:anchor distT="0" distB="0" distL="114300" distR="114300" simplePos="0" relativeHeight="251660288" behindDoc="1" locked="0" layoutInCell="1" allowOverlap="1" wp14:anchorId="6901E7DE" wp14:editId="09292969">
                  <wp:simplePos x="0" y="0"/>
                  <wp:positionH relativeFrom="column">
                    <wp:posOffset>266065</wp:posOffset>
                  </wp:positionH>
                  <wp:positionV relativeFrom="paragraph">
                    <wp:posOffset>41910</wp:posOffset>
                  </wp:positionV>
                  <wp:extent cx="1743710" cy="466090"/>
                  <wp:effectExtent l="0" t="0" r="889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367" r="13626" b="41268"/>
                          <a:stretch/>
                        </pic:blipFill>
                        <pic:spPr bwMode="auto">
                          <a:xfrm>
                            <a:off x="0" y="0"/>
                            <a:ext cx="1743710" cy="4660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9A01E9" w14:paraId="2A38003B" w14:textId="77777777" w:rsidTr="00F32A6B">
        <w:trPr>
          <w:trHeight w:val="282"/>
        </w:trPr>
        <w:tc>
          <w:tcPr>
            <w:tcW w:w="1008" w:type="pct"/>
            <w:gridSpan w:val="2"/>
            <w:tcBorders>
              <w:top w:val="single" w:sz="4" w:space="0" w:color="auto"/>
              <w:bottom w:val="single" w:sz="4" w:space="0" w:color="auto"/>
              <w:right w:val="single" w:sz="18" w:space="0" w:color="auto"/>
            </w:tcBorders>
          </w:tcPr>
          <w:p w14:paraId="3145676A" w14:textId="77777777" w:rsidR="009A01E9" w:rsidRPr="006038E5" w:rsidRDefault="009A01E9" w:rsidP="00F32A6B">
            <w:pPr>
              <w:rPr>
                <w:sz w:val="18"/>
                <w:szCs w:val="18"/>
              </w:rPr>
            </w:pPr>
            <w:r w:rsidRPr="006038E5">
              <w:rPr>
                <w:sz w:val="18"/>
                <w:szCs w:val="18"/>
              </w:rPr>
              <w:t>Ing</w:t>
            </w:r>
            <w:r>
              <w:rPr>
                <w:sz w:val="18"/>
                <w:szCs w:val="18"/>
              </w:rPr>
              <w:t>.</w:t>
            </w:r>
            <w:r w:rsidRPr="006038E5">
              <w:rPr>
                <w:sz w:val="18"/>
                <w:szCs w:val="18"/>
              </w:rPr>
              <w:t xml:space="preserve"> </w:t>
            </w:r>
            <w:r>
              <w:rPr>
                <w:sz w:val="18"/>
                <w:szCs w:val="18"/>
              </w:rPr>
              <w:t xml:space="preserve">R. </w:t>
            </w:r>
            <w:proofErr w:type="spellStart"/>
            <w:r>
              <w:rPr>
                <w:sz w:val="18"/>
                <w:szCs w:val="18"/>
              </w:rPr>
              <w:t>Hlaušek</w:t>
            </w:r>
            <w:proofErr w:type="spellEnd"/>
          </w:p>
        </w:tc>
        <w:tc>
          <w:tcPr>
            <w:tcW w:w="994" w:type="pct"/>
            <w:tcBorders>
              <w:top w:val="single" w:sz="4" w:space="0" w:color="auto"/>
              <w:left w:val="single" w:sz="18" w:space="0" w:color="auto"/>
              <w:bottom w:val="single" w:sz="4" w:space="0" w:color="auto"/>
              <w:right w:val="single" w:sz="18" w:space="0" w:color="auto"/>
            </w:tcBorders>
          </w:tcPr>
          <w:p w14:paraId="4E9D0CAC" w14:textId="77777777" w:rsidR="009A01E9" w:rsidRPr="006038E5" w:rsidRDefault="009A01E9" w:rsidP="00F32A6B">
            <w:pPr>
              <w:rPr>
                <w:sz w:val="18"/>
                <w:szCs w:val="18"/>
              </w:rPr>
            </w:pPr>
            <w:r>
              <w:rPr>
                <w:sz w:val="18"/>
                <w:szCs w:val="18"/>
              </w:rPr>
              <w:t xml:space="preserve">Bc. </w:t>
            </w:r>
            <w:r w:rsidRPr="006038E5">
              <w:rPr>
                <w:sz w:val="18"/>
                <w:szCs w:val="18"/>
              </w:rPr>
              <w:t xml:space="preserve">M. </w:t>
            </w:r>
            <w:r>
              <w:rPr>
                <w:sz w:val="18"/>
                <w:szCs w:val="18"/>
              </w:rPr>
              <w:t>Maďarová</w:t>
            </w:r>
          </w:p>
        </w:tc>
        <w:tc>
          <w:tcPr>
            <w:tcW w:w="1000" w:type="pct"/>
            <w:tcBorders>
              <w:top w:val="single" w:sz="4" w:space="0" w:color="auto"/>
              <w:left w:val="single" w:sz="18" w:space="0" w:color="auto"/>
              <w:bottom w:val="single" w:sz="4" w:space="0" w:color="auto"/>
              <w:right w:val="single" w:sz="18" w:space="0" w:color="auto"/>
            </w:tcBorders>
          </w:tcPr>
          <w:p w14:paraId="79FC010A" w14:textId="77777777" w:rsidR="009A01E9" w:rsidRPr="006038E5" w:rsidRDefault="009A01E9" w:rsidP="00F32A6B">
            <w:pPr>
              <w:rPr>
                <w:sz w:val="18"/>
                <w:szCs w:val="18"/>
              </w:rPr>
            </w:pPr>
            <w:r>
              <w:rPr>
                <w:sz w:val="18"/>
                <w:szCs w:val="18"/>
              </w:rPr>
              <w:t xml:space="preserve">Bc. </w:t>
            </w:r>
            <w:r w:rsidRPr="006038E5">
              <w:rPr>
                <w:sz w:val="18"/>
                <w:szCs w:val="18"/>
              </w:rPr>
              <w:t xml:space="preserve">M. </w:t>
            </w:r>
            <w:r>
              <w:rPr>
                <w:sz w:val="18"/>
                <w:szCs w:val="18"/>
              </w:rPr>
              <w:t>Maďarová</w:t>
            </w:r>
          </w:p>
        </w:tc>
        <w:tc>
          <w:tcPr>
            <w:tcW w:w="1998" w:type="pct"/>
            <w:gridSpan w:val="2"/>
            <w:vMerge/>
            <w:tcBorders>
              <w:left w:val="single" w:sz="18" w:space="0" w:color="auto"/>
            </w:tcBorders>
          </w:tcPr>
          <w:p w14:paraId="53C0E5AD" w14:textId="77777777" w:rsidR="009A01E9" w:rsidRDefault="009A01E9" w:rsidP="00F32A6B"/>
        </w:tc>
      </w:tr>
      <w:tr w:rsidR="009A01E9" w14:paraId="543B4E47" w14:textId="77777777" w:rsidTr="00F32A6B">
        <w:tc>
          <w:tcPr>
            <w:tcW w:w="1008" w:type="pct"/>
            <w:gridSpan w:val="2"/>
            <w:tcBorders>
              <w:top w:val="single" w:sz="4" w:space="0" w:color="auto"/>
              <w:bottom w:val="single" w:sz="18" w:space="0" w:color="auto"/>
              <w:right w:val="single" w:sz="18" w:space="0" w:color="auto"/>
            </w:tcBorders>
          </w:tcPr>
          <w:p w14:paraId="416D9DDE" w14:textId="77777777" w:rsidR="009A01E9" w:rsidRDefault="009A01E9" w:rsidP="00F32A6B"/>
        </w:tc>
        <w:tc>
          <w:tcPr>
            <w:tcW w:w="994" w:type="pct"/>
            <w:tcBorders>
              <w:top w:val="single" w:sz="4" w:space="0" w:color="auto"/>
              <w:left w:val="single" w:sz="18" w:space="0" w:color="auto"/>
              <w:bottom w:val="single" w:sz="18" w:space="0" w:color="auto"/>
              <w:right w:val="single" w:sz="18" w:space="0" w:color="auto"/>
            </w:tcBorders>
          </w:tcPr>
          <w:p w14:paraId="254E1D99" w14:textId="77777777" w:rsidR="009A01E9" w:rsidRDefault="009A01E9" w:rsidP="00F32A6B">
            <w:r w:rsidRPr="00883311">
              <w:rPr>
                <w:noProof/>
              </w:rPr>
              <w:drawing>
                <wp:anchor distT="0" distB="0" distL="114300" distR="114300" simplePos="0" relativeHeight="251661312" behindDoc="0" locked="0" layoutInCell="1" allowOverlap="1" wp14:anchorId="0B265AFE" wp14:editId="597D7E71">
                  <wp:simplePos x="0" y="0"/>
                  <wp:positionH relativeFrom="column">
                    <wp:posOffset>65405</wp:posOffset>
                  </wp:positionH>
                  <wp:positionV relativeFrom="paragraph">
                    <wp:posOffset>-45720</wp:posOffset>
                  </wp:positionV>
                  <wp:extent cx="781050" cy="207269"/>
                  <wp:effectExtent l="0" t="0" r="0" b="254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000" w:type="pct"/>
            <w:tcBorders>
              <w:top w:val="single" w:sz="4" w:space="0" w:color="auto"/>
              <w:left w:val="single" w:sz="18" w:space="0" w:color="auto"/>
              <w:bottom w:val="single" w:sz="18" w:space="0" w:color="auto"/>
              <w:right w:val="single" w:sz="18" w:space="0" w:color="auto"/>
            </w:tcBorders>
          </w:tcPr>
          <w:p w14:paraId="40D24927" w14:textId="77777777" w:rsidR="009A01E9" w:rsidRDefault="009A01E9" w:rsidP="00F32A6B">
            <w:r w:rsidRPr="00883311">
              <w:rPr>
                <w:noProof/>
              </w:rPr>
              <w:drawing>
                <wp:anchor distT="0" distB="0" distL="114300" distR="114300" simplePos="0" relativeHeight="251659264" behindDoc="0" locked="0" layoutInCell="1" allowOverlap="1" wp14:anchorId="3E68896C" wp14:editId="4B6CBBF1">
                  <wp:simplePos x="0" y="0"/>
                  <wp:positionH relativeFrom="column">
                    <wp:posOffset>48601</wp:posOffset>
                  </wp:positionH>
                  <wp:positionV relativeFrom="paragraph">
                    <wp:posOffset>-45720</wp:posOffset>
                  </wp:positionV>
                  <wp:extent cx="781050" cy="207269"/>
                  <wp:effectExtent l="0" t="0" r="0" b="254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998" w:type="pct"/>
            <w:gridSpan w:val="2"/>
            <w:vMerge/>
            <w:tcBorders>
              <w:left w:val="single" w:sz="18" w:space="0" w:color="auto"/>
            </w:tcBorders>
          </w:tcPr>
          <w:p w14:paraId="5E4D3D73" w14:textId="77777777" w:rsidR="009A01E9" w:rsidRDefault="009A01E9" w:rsidP="00F32A6B"/>
        </w:tc>
      </w:tr>
      <w:tr w:rsidR="009A01E9" w14:paraId="2683B116" w14:textId="77777777" w:rsidTr="00F32A6B">
        <w:tc>
          <w:tcPr>
            <w:tcW w:w="1008" w:type="pct"/>
            <w:gridSpan w:val="2"/>
            <w:vMerge w:val="restart"/>
            <w:tcBorders>
              <w:top w:val="single" w:sz="18" w:space="0" w:color="auto"/>
              <w:right w:val="single" w:sz="18" w:space="0" w:color="auto"/>
            </w:tcBorders>
            <w:vAlign w:val="center"/>
          </w:tcPr>
          <w:p w14:paraId="0236CA0C" w14:textId="4E6065E7" w:rsidR="009A01E9" w:rsidRPr="006038E5" w:rsidRDefault="004A6CFF" w:rsidP="00F32A6B">
            <w:pPr>
              <w:jc w:val="left"/>
              <w:rPr>
                <w:b/>
                <w:sz w:val="18"/>
                <w:szCs w:val="18"/>
              </w:rPr>
            </w:pPr>
            <w:r>
              <w:rPr>
                <w:b/>
                <w:sz w:val="18"/>
                <w:szCs w:val="18"/>
              </w:rPr>
              <w:t>I</w:t>
            </w:r>
            <w:r w:rsidR="009A01E9">
              <w:rPr>
                <w:b/>
                <w:sz w:val="18"/>
                <w:szCs w:val="18"/>
              </w:rPr>
              <w:t>nvestor</w:t>
            </w:r>
          </w:p>
        </w:tc>
        <w:tc>
          <w:tcPr>
            <w:tcW w:w="1994" w:type="pct"/>
            <w:gridSpan w:val="2"/>
            <w:vMerge w:val="restart"/>
            <w:tcBorders>
              <w:top w:val="single" w:sz="18" w:space="0" w:color="auto"/>
              <w:left w:val="single" w:sz="18" w:space="0" w:color="auto"/>
              <w:right w:val="single" w:sz="18" w:space="0" w:color="auto"/>
            </w:tcBorders>
            <w:vAlign w:val="center"/>
          </w:tcPr>
          <w:p w14:paraId="41EDF7C9" w14:textId="77777777" w:rsidR="00BE356E" w:rsidRPr="00251F75" w:rsidRDefault="00BE356E" w:rsidP="00BE356E">
            <w:pPr>
              <w:jc w:val="left"/>
              <w:rPr>
                <w:spacing w:val="-2"/>
                <w:sz w:val="18"/>
                <w:szCs w:val="18"/>
              </w:rPr>
            </w:pPr>
            <w:r w:rsidRPr="00251F75">
              <w:rPr>
                <w:spacing w:val="-2"/>
                <w:sz w:val="18"/>
                <w:szCs w:val="18"/>
              </w:rPr>
              <w:t>Technické</w:t>
            </w:r>
            <w:r w:rsidRPr="00251F75">
              <w:rPr>
                <w:spacing w:val="-2"/>
                <w:sz w:val="16"/>
                <w:szCs w:val="16"/>
              </w:rPr>
              <w:t xml:space="preserve"> </w:t>
            </w:r>
            <w:r w:rsidRPr="00251F75">
              <w:rPr>
                <w:spacing w:val="-2"/>
                <w:sz w:val="18"/>
                <w:szCs w:val="18"/>
              </w:rPr>
              <w:t>služby</w:t>
            </w:r>
            <w:r w:rsidRPr="00251F75">
              <w:rPr>
                <w:spacing w:val="-2"/>
                <w:sz w:val="16"/>
                <w:szCs w:val="16"/>
              </w:rPr>
              <w:t xml:space="preserve"> </w:t>
            </w:r>
            <w:r w:rsidRPr="00251F75">
              <w:rPr>
                <w:spacing w:val="-2"/>
                <w:sz w:val="18"/>
                <w:szCs w:val="18"/>
              </w:rPr>
              <w:t>města</w:t>
            </w:r>
            <w:r w:rsidRPr="00251F75">
              <w:rPr>
                <w:spacing w:val="-2"/>
                <w:sz w:val="16"/>
                <w:szCs w:val="16"/>
              </w:rPr>
              <w:t xml:space="preserve"> </w:t>
            </w:r>
            <w:r w:rsidRPr="00251F75">
              <w:rPr>
                <w:spacing w:val="-2"/>
                <w:sz w:val="18"/>
                <w:szCs w:val="18"/>
              </w:rPr>
              <w:t>Nového</w:t>
            </w:r>
            <w:r w:rsidRPr="00251F75">
              <w:rPr>
                <w:spacing w:val="-2"/>
                <w:sz w:val="16"/>
                <w:szCs w:val="16"/>
              </w:rPr>
              <w:t xml:space="preserve"> </w:t>
            </w:r>
            <w:r w:rsidRPr="00251F75">
              <w:rPr>
                <w:spacing w:val="-2"/>
                <w:sz w:val="18"/>
                <w:szCs w:val="18"/>
              </w:rPr>
              <w:t>Jičína,</w:t>
            </w:r>
            <w:r w:rsidRPr="00251F75">
              <w:rPr>
                <w:spacing w:val="-2"/>
                <w:sz w:val="16"/>
                <w:szCs w:val="16"/>
              </w:rPr>
              <w:t xml:space="preserve"> </w:t>
            </w:r>
            <w:r w:rsidRPr="00251F75">
              <w:rPr>
                <w:spacing w:val="-2"/>
                <w:sz w:val="18"/>
                <w:szCs w:val="18"/>
              </w:rPr>
              <w:t>p. o.</w:t>
            </w:r>
          </w:p>
          <w:p w14:paraId="0AF1D015" w14:textId="6147A805" w:rsidR="009A01E9" w:rsidRPr="00C25524" w:rsidRDefault="00BE356E" w:rsidP="00BE356E">
            <w:pPr>
              <w:jc w:val="left"/>
              <w:rPr>
                <w:sz w:val="18"/>
                <w:szCs w:val="18"/>
              </w:rPr>
            </w:pPr>
            <w:r>
              <w:rPr>
                <w:sz w:val="18"/>
                <w:szCs w:val="18"/>
              </w:rPr>
              <w:t>Suvorovova 909/114, 741 01 Nový Jičín</w:t>
            </w:r>
          </w:p>
        </w:tc>
        <w:tc>
          <w:tcPr>
            <w:tcW w:w="1000" w:type="pct"/>
            <w:tcBorders>
              <w:top w:val="single" w:sz="18" w:space="0" w:color="auto"/>
              <w:left w:val="single" w:sz="18" w:space="0" w:color="auto"/>
              <w:bottom w:val="single" w:sz="4" w:space="0" w:color="auto"/>
              <w:right w:val="single" w:sz="18" w:space="0" w:color="auto"/>
            </w:tcBorders>
          </w:tcPr>
          <w:p w14:paraId="79C85F10" w14:textId="77777777" w:rsidR="009A01E9" w:rsidRPr="006038E5" w:rsidRDefault="009A01E9" w:rsidP="00F32A6B">
            <w:pPr>
              <w:rPr>
                <w:b/>
                <w:sz w:val="18"/>
                <w:szCs w:val="18"/>
              </w:rPr>
            </w:pPr>
            <w:r w:rsidRPr="006038E5">
              <w:rPr>
                <w:b/>
                <w:sz w:val="18"/>
                <w:szCs w:val="18"/>
              </w:rPr>
              <w:t>Formát</w:t>
            </w:r>
          </w:p>
        </w:tc>
        <w:tc>
          <w:tcPr>
            <w:tcW w:w="998" w:type="pct"/>
            <w:tcBorders>
              <w:top w:val="single" w:sz="18" w:space="0" w:color="auto"/>
              <w:left w:val="single" w:sz="18" w:space="0" w:color="auto"/>
              <w:bottom w:val="single" w:sz="4" w:space="0" w:color="auto"/>
            </w:tcBorders>
          </w:tcPr>
          <w:p w14:paraId="16F3EACE" w14:textId="77777777" w:rsidR="009A01E9" w:rsidRDefault="009A01E9" w:rsidP="00F32A6B"/>
        </w:tc>
      </w:tr>
      <w:tr w:rsidR="009A01E9" w14:paraId="5DDB5F24" w14:textId="77777777" w:rsidTr="00F32A6B">
        <w:tc>
          <w:tcPr>
            <w:tcW w:w="1008" w:type="pct"/>
            <w:gridSpan w:val="2"/>
            <w:vMerge/>
            <w:tcBorders>
              <w:right w:val="single" w:sz="18" w:space="0" w:color="auto"/>
            </w:tcBorders>
          </w:tcPr>
          <w:p w14:paraId="252D6113" w14:textId="77777777" w:rsidR="009A01E9" w:rsidRDefault="009A01E9" w:rsidP="00F32A6B"/>
        </w:tc>
        <w:tc>
          <w:tcPr>
            <w:tcW w:w="1994" w:type="pct"/>
            <w:gridSpan w:val="2"/>
            <w:vMerge/>
            <w:tcBorders>
              <w:left w:val="single" w:sz="18" w:space="0" w:color="auto"/>
              <w:right w:val="single" w:sz="18" w:space="0" w:color="auto"/>
            </w:tcBorders>
          </w:tcPr>
          <w:p w14:paraId="58F1E5B3" w14:textId="77777777" w:rsidR="009A01E9" w:rsidRDefault="009A01E9" w:rsidP="00F32A6B"/>
        </w:tc>
        <w:tc>
          <w:tcPr>
            <w:tcW w:w="1000" w:type="pct"/>
            <w:tcBorders>
              <w:top w:val="single" w:sz="4" w:space="0" w:color="auto"/>
              <w:left w:val="single" w:sz="18" w:space="0" w:color="auto"/>
              <w:bottom w:val="single" w:sz="4" w:space="0" w:color="auto"/>
              <w:right w:val="single" w:sz="18" w:space="0" w:color="auto"/>
            </w:tcBorders>
          </w:tcPr>
          <w:p w14:paraId="5305EF06" w14:textId="77777777" w:rsidR="009A01E9" w:rsidRPr="006038E5" w:rsidRDefault="009A01E9" w:rsidP="00F32A6B">
            <w:pPr>
              <w:rPr>
                <w:b/>
                <w:sz w:val="18"/>
                <w:szCs w:val="18"/>
              </w:rPr>
            </w:pPr>
            <w:r w:rsidRPr="006038E5">
              <w:rPr>
                <w:b/>
                <w:sz w:val="18"/>
                <w:szCs w:val="18"/>
              </w:rPr>
              <w:t>Datum</w:t>
            </w:r>
          </w:p>
        </w:tc>
        <w:tc>
          <w:tcPr>
            <w:tcW w:w="998" w:type="pct"/>
            <w:tcBorders>
              <w:top w:val="single" w:sz="4" w:space="0" w:color="auto"/>
              <w:left w:val="single" w:sz="18" w:space="0" w:color="auto"/>
              <w:bottom w:val="single" w:sz="4" w:space="0" w:color="auto"/>
            </w:tcBorders>
          </w:tcPr>
          <w:p w14:paraId="25AFA1B5" w14:textId="7C9482FD" w:rsidR="009A01E9" w:rsidRPr="00B47B68" w:rsidRDefault="00161E5C" w:rsidP="00F32A6B">
            <w:r>
              <w:t>10</w:t>
            </w:r>
            <w:r w:rsidR="009A01E9">
              <w:t>/2020</w:t>
            </w:r>
          </w:p>
        </w:tc>
      </w:tr>
      <w:tr w:rsidR="00BE356E" w14:paraId="1AE89229" w14:textId="77777777" w:rsidTr="00F32A6B">
        <w:tc>
          <w:tcPr>
            <w:tcW w:w="1008" w:type="pct"/>
            <w:gridSpan w:val="2"/>
            <w:tcBorders>
              <w:bottom w:val="single" w:sz="18" w:space="0" w:color="auto"/>
              <w:right w:val="single" w:sz="18" w:space="0" w:color="auto"/>
            </w:tcBorders>
          </w:tcPr>
          <w:p w14:paraId="43DDBF5F" w14:textId="77777777" w:rsidR="00BE356E" w:rsidRPr="006038E5" w:rsidRDefault="00BE356E" w:rsidP="00BE356E">
            <w:pPr>
              <w:rPr>
                <w:b/>
                <w:sz w:val="18"/>
                <w:szCs w:val="18"/>
              </w:rPr>
            </w:pPr>
            <w:r w:rsidRPr="006038E5">
              <w:rPr>
                <w:b/>
                <w:sz w:val="18"/>
                <w:szCs w:val="18"/>
              </w:rPr>
              <w:t>Místo stavby</w:t>
            </w:r>
          </w:p>
        </w:tc>
        <w:tc>
          <w:tcPr>
            <w:tcW w:w="1994" w:type="pct"/>
            <w:gridSpan w:val="2"/>
            <w:tcBorders>
              <w:left w:val="single" w:sz="18" w:space="0" w:color="auto"/>
              <w:bottom w:val="single" w:sz="18" w:space="0" w:color="auto"/>
              <w:right w:val="single" w:sz="18" w:space="0" w:color="auto"/>
            </w:tcBorders>
          </w:tcPr>
          <w:p w14:paraId="2D036A71" w14:textId="3A136B5E" w:rsidR="00BE356E" w:rsidRPr="006038E5" w:rsidRDefault="00BE356E" w:rsidP="00BE356E">
            <w:pPr>
              <w:rPr>
                <w:sz w:val="18"/>
                <w:szCs w:val="18"/>
              </w:rPr>
            </w:pPr>
            <w:r>
              <w:rPr>
                <w:sz w:val="18"/>
                <w:szCs w:val="18"/>
              </w:rPr>
              <w:t xml:space="preserve">p. č. 589/3, k. </w:t>
            </w:r>
            <w:proofErr w:type="spellStart"/>
            <w:r>
              <w:rPr>
                <w:sz w:val="18"/>
                <w:szCs w:val="18"/>
              </w:rPr>
              <w:t>ú.</w:t>
            </w:r>
            <w:proofErr w:type="spellEnd"/>
            <w:r>
              <w:rPr>
                <w:sz w:val="18"/>
                <w:szCs w:val="18"/>
              </w:rPr>
              <w:t xml:space="preserve"> Nový Jičín-Horní Předměstí</w:t>
            </w:r>
          </w:p>
        </w:tc>
        <w:tc>
          <w:tcPr>
            <w:tcW w:w="1000" w:type="pct"/>
            <w:tcBorders>
              <w:top w:val="single" w:sz="4" w:space="0" w:color="auto"/>
              <w:left w:val="single" w:sz="18" w:space="0" w:color="auto"/>
              <w:bottom w:val="single" w:sz="4" w:space="0" w:color="auto"/>
              <w:right w:val="single" w:sz="18" w:space="0" w:color="auto"/>
            </w:tcBorders>
          </w:tcPr>
          <w:p w14:paraId="77173D1A" w14:textId="77777777" w:rsidR="00BE356E" w:rsidRPr="006038E5" w:rsidRDefault="00BE356E" w:rsidP="00BE356E">
            <w:pPr>
              <w:rPr>
                <w:b/>
                <w:sz w:val="18"/>
                <w:szCs w:val="18"/>
              </w:rPr>
            </w:pPr>
            <w:r w:rsidRPr="006038E5">
              <w:rPr>
                <w:b/>
                <w:sz w:val="18"/>
                <w:szCs w:val="18"/>
              </w:rPr>
              <w:t>Účel</w:t>
            </w:r>
          </w:p>
        </w:tc>
        <w:tc>
          <w:tcPr>
            <w:tcW w:w="998" w:type="pct"/>
            <w:tcBorders>
              <w:top w:val="single" w:sz="4" w:space="0" w:color="auto"/>
              <w:left w:val="single" w:sz="18" w:space="0" w:color="auto"/>
              <w:bottom w:val="single" w:sz="4" w:space="0" w:color="auto"/>
            </w:tcBorders>
          </w:tcPr>
          <w:p w14:paraId="518FF64C" w14:textId="7AA02E76" w:rsidR="00BE356E" w:rsidRPr="006038E5" w:rsidRDefault="00BE356E" w:rsidP="00BE356E">
            <w:r>
              <w:t>DBP</w:t>
            </w:r>
          </w:p>
        </w:tc>
      </w:tr>
      <w:tr w:rsidR="00BE356E" w14:paraId="627DF591" w14:textId="77777777" w:rsidTr="00C257B2">
        <w:tc>
          <w:tcPr>
            <w:tcW w:w="537" w:type="pct"/>
            <w:vMerge w:val="restart"/>
            <w:tcBorders>
              <w:top w:val="single" w:sz="18" w:space="0" w:color="auto"/>
              <w:bottom w:val="single" w:sz="18" w:space="0" w:color="auto"/>
              <w:right w:val="nil"/>
            </w:tcBorders>
            <w:vAlign w:val="center"/>
          </w:tcPr>
          <w:p w14:paraId="673BEC7C" w14:textId="77777777" w:rsidR="00BE356E" w:rsidRPr="006E5085" w:rsidRDefault="00BE356E" w:rsidP="00BE356E">
            <w:pPr>
              <w:jc w:val="left"/>
              <w:rPr>
                <w:sz w:val="18"/>
                <w:szCs w:val="18"/>
              </w:rPr>
            </w:pPr>
            <w:r w:rsidRPr="006E5085">
              <w:rPr>
                <w:sz w:val="18"/>
                <w:szCs w:val="18"/>
              </w:rPr>
              <w:t>Akce:</w:t>
            </w:r>
          </w:p>
        </w:tc>
        <w:tc>
          <w:tcPr>
            <w:tcW w:w="2465" w:type="pct"/>
            <w:gridSpan w:val="3"/>
            <w:vMerge w:val="restart"/>
            <w:tcBorders>
              <w:top w:val="single" w:sz="18" w:space="0" w:color="auto"/>
              <w:left w:val="nil"/>
              <w:bottom w:val="single" w:sz="18" w:space="0" w:color="auto"/>
              <w:right w:val="single" w:sz="18" w:space="0" w:color="auto"/>
            </w:tcBorders>
            <w:vAlign w:val="center"/>
          </w:tcPr>
          <w:p w14:paraId="00EC36BB" w14:textId="479866F4" w:rsidR="00BE356E" w:rsidRPr="006038E5" w:rsidRDefault="00686898" w:rsidP="00BE356E">
            <w:pPr>
              <w:jc w:val="left"/>
              <w:rPr>
                <w:sz w:val="18"/>
                <w:szCs w:val="18"/>
              </w:rPr>
            </w:pPr>
            <w:r>
              <w:rPr>
                <w:sz w:val="18"/>
                <w:szCs w:val="18"/>
              </w:rPr>
              <w:t>Demolice plechového skladu střediska Veřejná zeleň na ul. Palackého 29, Nový Jičín</w:t>
            </w:r>
          </w:p>
        </w:tc>
        <w:tc>
          <w:tcPr>
            <w:tcW w:w="1000" w:type="pct"/>
            <w:tcBorders>
              <w:top w:val="single" w:sz="4" w:space="0" w:color="auto"/>
              <w:left w:val="single" w:sz="18" w:space="0" w:color="auto"/>
              <w:bottom w:val="single" w:sz="4" w:space="0" w:color="auto"/>
              <w:right w:val="single" w:sz="18" w:space="0" w:color="auto"/>
            </w:tcBorders>
          </w:tcPr>
          <w:p w14:paraId="00FC43B5" w14:textId="77777777" w:rsidR="00BE356E" w:rsidRPr="006038E5" w:rsidRDefault="00BE356E" w:rsidP="00BE356E">
            <w:pPr>
              <w:rPr>
                <w:b/>
                <w:sz w:val="18"/>
                <w:szCs w:val="18"/>
              </w:rPr>
            </w:pPr>
            <w:r w:rsidRPr="006038E5">
              <w:rPr>
                <w:b/>
                <w:sz w:val="18"/>
                <w:szCs w:val="18"/>
              </w:rPr>
              <w:t>Měřítko</w:t>
            </w:r>
          </w:p>
        </w:tc>
        <w:tc>
          <w:tcPr>
            <w:tcW w:w="998" w:type="pct"/>
            <w:tcBorders>
              <w:top w:val="single" w:sz="4" w:space="0" w:color="auto"/>
              <w:left w:val="single" w:sz="18" w:space="0" w:color="auto"/>
              <w:bottom w:val="single" w:sz="4" w:space="0" w:color="auto"/>
            </w:tcBorders>
          </w:tcPr>
          <w:p w14:paraId="68BE2AD4" w14:textId="77777777" w:rsidR="00BE356E" w:rsidRDefault="00BE356E" w:rsidP="00BE356E"/>
        </w:tc>
      </w:tr>
      <w:tr w:rsidR="00BE356E" w14:paraId="2FC15CDC" w14:textId="77777777" w:rsidTr="00C257B2">
        <w:tc>
          <w:tcPr>
            <w:tcW w:w="537" w:type="pct"/>
            <w:vMerge/>
            <w:tcBorders>
              <w:top w:val="single" w:sz="4" w:space="0" w:color="auto"/>
              <w:bottom w:val="single" w:sz="18" w:space="0" w:color="auto"/>
              <w:right w:val="nil"/>
            </w:tcBorders>
          </w:tcPr>
          <w:p w14:paraId="1542B882" w14:textId="77777777" w:rsidR="00BE356E" w:rsidRDefault="00BE356E" w:rsidP="00BE356E"/>
        </w:tc>
        <w:tc>
          <w:tcPr>
            <w:tcW w:w="2465" w:type="pct"/>
            <w:gridSpan w:val="3"/>
            <w:vMerge/>
            <w:tcBorders>
              <w:top w:val="single" w:sz="18" w:space="0" w:color="auto"/>
              <w:left w:val="nil"/>
              <w:bottom w:val="single" w:sz="18" w:space="0" w:color="auto"/>
              <w:right w:val="single" w:sz="18" w:space="0" w:color="auto"/>
            </w:tcBorders>
          </w:tcPr>
          <w:p w14:paraId="3BAD1E3B" w14:textId="77777777" w:rsidR="00BE356E" w:rsidRDefault="00BE356E" w:rsidP="00BE356E"/>
        </w:tc>
        <w:tc>
          <w:tcPr>
            <w:tcW w:w="1000" w:type="pct"/>
            <w:tcBorders>
              <w:top w:val="single" w:sz="4" w:space="0" w:color="auto"/>
              <w:left w:val="single" w:sz="18" w:space="0" w:color="auto"/>
              <w:bottom w:val="single" w:sz="18" w:space="0" w:color="auto"/>
              <w:right w:val="single" w:sz="18" w:space="0" w:color="auto"/>
            </w:tcBorders>
          </w:tcPr>
          <w:p w14:paraId="7B6D9073" w14:textId="77777777" w:rsidR="00BE356E" w:rsidRPr="006038E5" w:rsidRDefault="00BE356E" w:rsidP="00BE356E">
            <w:pPr>
              <w:rPr>
                <w:b/>
                <w:sz w:val="18"/>
                <w:szCs w:val="18"/>
              </w:rPr>
            </w:pPr>
            <w:r w:rsidRPr="006038E5">
              <w:rPr>
                <w:b/>
                <w:sz w:val="18"/>
                <w:szCs w:val="18"/>
              </w:rPr>
              <w:t>Arch. číslo</w:t>
            </w:r>
          </w:p>
        </w:tc>
        <w:tc>
          <w:tcPr>
            <w:tcW w:w="998" w:type="pct"/>
            <w:tcBorders>
              <w:top w:val="single" w:sz="4" w:space="0" w:color="auto"/>
              <w:left w:val="single" w:sz="18" w:space="0" w:color="auto"/>
              <w:bottom w:val="single" w:sz="18" w:space="0" w:color="auto"/>
            </w:tcBorders>
          </w:tcPr>
          <w:p w14:paraId="354B95DF" w14:textId="1953006A" w:rsidR="00BE356E" w:rsidRDefault="0082185C" w:rsidP="00BE356E">
            <w:r>
              <w:t>BE/2020/05</w:t>
            </w:r>
          </w:p>
        </w:tc>
      </w:tr>
      <w:tr w:rsidR="00BE356E" w14:paraId="3E6FFB21" w14:textId="77777777" w:rsidTr="00F32A6B">
        <w:trPr>
          <w:trHeight w:val="567"/>
        </w:trPr>
        <w:tc>
          <w:tcPr>
            <w:tcW w:w="3002" w:type="pct"/>
            <w:gridSpan w:val="4"/>
            <w:tcBorders>
              <w:top w:val="single" w:sz="18" w:space="0" w:color="auto"/>
              <w:bottom w:val="single" w:sz="18" w:space="0" w:color="auto"/>
              <w:right w:val="single" w:sz="18" w:space="0" w:color="auto"/>
            </w:tcBorders>
            <w:vAlign w:val="center"/>
          </w:tcPr>
          <w:p w14:paraId="28143D63" w14:textId="64DA5578" w:rsidR="00BE356E" w:rsidRPr="006E5085" w:rsidRDefault="00BE356E" w:rsidP="00BE356E">
            <w:pPr>
              <w:jc w:val="left"/>
              <w:rPr>
                <w:sz w:val="18"/>
                <w:szCs w:val="18"/>
              </w:rPr>
            </w:pPr>
            <w:proofErr w:type="gramStart"/>
            <w:r w:rsidRPr="006E5085">
              <w:rPr>
                <w:sz w:val="18"/>
                <w:szCs w:val="18"/>
              </w:rPr>
              <w:t xml:space="preserve">Obsah: </w:t>
            </w:r>
            <w:r>
              <w:rPr>
                <w:sz w:val="18"/>
                <w:szCs w:val="18"/>
              </w:rPr>
              <w:t xml:space="preserve">  </w:t>
            </w:r>
            <w:proofErr w:type="gramEnd"/>
            <w:r>
              <w:rPr>
                <w:sz w:val="18"/>
                <w:szCs w:val="18"/>
              </w:rPr>
              <w:t xml:space="preserve">    TECHNICKÁ ZPRÁVA</w:t>
            </w:r>
          </w:p>
        </w:tc>
        <w:tc>
          <w:tcPr>
            <w:tcW w:w="1000" w:type="pct"/>
            <w:tcBorders>
              <w:top w:val="single" w:sz="18" w:space="0" w:color="auto"/>
              <w:left w:val="single" w:sz="18" w:space="0" w:color="auto"/>
              <w:bottom w:val="single" w:sz="18" w:space="0" w:color="auto"/>
              <w:right w:val="single" w:sz="18" w:space="0" w:color="auto"/>
            </w:tcBorders>
          </w:tcPr>
          <w:p w14:paraId="2B83D429" w14:textId="77777777" w:rsidR="00BE356E" w:rsidRPr="006038E5" w:rsidRDefault="00BE356E" w:rsidP="00BE356E">
            <w:pPr>
              <w:rPr>
                <w:b/>
                <w:sz w:val="18"/>
                <w:szCs w:val="18"/>
              </w:rPr>
            </w:pPr>
            <w:r w:rsidRPr="006038E5">
              <w:rPr>
                <w:b/>
                <w:sz w:val="18"/>
                <w:szCs w:val="18"/>
              </w:rPr>
              <w:t>Číslo kopie</w:t>
            </w:r>
          </w:p>
        </w:tc>
        <w:tc>
          <w:tcPr>
            <w:tcW w:w="998" w:type="pct"/>
            <w:tcBorders>
              <w:top w:val="single" w:sz="18" w:space="0" w:color="auto"/>
              <w:left w:val="single" w:sz="18" w:space="0" w:color="auto"/>
              <w:bottom w:val="single" w:sz="18" w:space="0" w:color="auto"/>
            </w:tcBorders>
          </w:tcPr>
          <w:p w14:paraId="7B6EF086" w14:textId="77777777" w:rsidR="00BE356E" w:rsidRPr="006038E5" w:rsidRDefault="00BE356E" w:rsidP="00BE356E">
            <w:pPr>
              <w:rPr>
                <w:b/>
                <w:sz w:val="18"/>
                <w:szCs w:val="18"/>
              </w:rPr>
            </w:pPr>
            <w:r w:rsidRPr="006038E5">
              <w:rPr>
                <w:b/>
                <w:sz w:val="18"/>
                <w:szCs w:val="18"/>
              </w:rPr>
              <w:t>Číslo výkresu</w:t>
            </w:r>
          </w:p>
          <w:p w14:paraId="6A0E3765" w14:textId="2801F975" w:rsidR="00BE356E" w:rsidRPr="006038E5" w:rsidRDefault="00BE356E" w:rsidP="00BE356E">
            <w:pPr>
              <w:rPr>
                <w:sz w:val="24"/>
                <w:szCs w:val="24"/>
              </w:rPr>
            </w:pPr>
            <w:r>
              <w:rPr>
                <w:b/>
                <w:sz w:val="24"/>
                <w:szCs w:val="24"/>
              </w:rPr>
              <w:t xml:space="preserve">          D.1</w:t>
            </w:r>
          </w:p>
        </w:tc>
      </w:tr>
    </w:tbl>
    <w:p w14:paraId="5966396B" w14:textId="77777777" w:rsidR="001C3C86" w:rsidRDefault="001C3C86" w:rsidP="001C3C86">
      <w:pPr>
        <w:sectPr w:rsidR="001C3C86">
          <w:pgSz w:w="11906" w:h="16838"/>
          <w:pgMar w:top="1417" w:right="1417" w:bottom="1417" w:left="1417" w:header="708" w:footer="708" w:gutter="0"/>
          <w:cols w:space="708"/>
          <w:docGrid w:linePitch="360"/>
        </w:sectPr>
      </w:pPr>
    </w:p>
    <w:p w14:paraId="41B594DD" w14:textId="563D1CE4" w:rsidR="00330813" w:rsidRPr="001C3C86" w:rsidRDefault="0093292D" w:rsidP="001C3C86">
      <w:pPr>
        <w:rPr>
          <w:b/>
          <w:sz w:val="36"/>
          <w:szCs w:val="36"/>
        </w:rPr>
      </w:pPr>
      <w:r>
        <w:rPr>
          <w:b/>
          <w:sz w:val="36"/>
          <w:szCs w:val="36"/>
        </w:rPr>
        <w:lastRenderedPageBreak/>
        <w:t>D</w:t>
      </w:r>
      <w:r w:rsidR="00BE356E">
        <w:rPr>
          <w:b/>
          <w:sz w:val="36"/>
          <w:szCs w:val="36"/>
        </w:rPr>
        <w:t>.</w:t>
      </w:r>
      <w:r>
        <w:rPr>
          <w:b/>
          <w:sz w:val="36"/>
          <w:szCs w:val="36"/>
        </w:rPr>
        <w:t>1</w:t>
      </w:r>
      <w:r w:rsidR="00E77FF2" w:rsidRPr="001C3C86">
        <w:rPr>
          <w:b/>
          <w:sz w:val="36"/>
          <w:szCs w:val="36"/>
        </w:rPr>
        <w:t xml:space="preserve"> TECHNICKÁ ZPRÁVA</w:t>
      </w:r>
    </w:p>
    <w:sdt>
      <w:sdtPr>
        <w:rPr>
          <w:szCs w:val="22"/>
        </w:rPr>
        <w:id w:val="-1856412173"/>
        <w:docPartObj>
          <w:docPartGallery w:val="Table of Contents"/>
          <w:docPartUnique/>
        </w:docPartObj>
      </w:sdtPr>
      <w:sdtEndPr>
        <w:rPr>
          <w:b/>
          <w:bCs/>
        </w:rPr>
      </w:sdtEndPr>
      <w:sdtContent>
        <w:p w14:paraId="6E1CB7B3" w14:textId="77777777" w:rsidR="001C3C86" w:rsidRPr="001C3C86" w:rsidRDefault="001C3C86" w:rsidP="001C3C86">
          <w:pPr>
            <w:pStyle w:val="Bezmezer"/>
            <w:rPr>
              <w:sz w:val="24"/>
              <w:szCs w:val="24"/>
              <w:u w:val="single"/>
            </w:rPr>
          </w:pPr>
          <w:r>
            <w:rPr>
              <w:sz w:val="24"/>
              <w:szCs w:val="24"/>
              <w:u w:val="single"/>
            </w:rPr>
            <w:t>OBSAH</w:t>
          </w:r>
        </w:p>
        <w:p w14:paraId="2A449F54" w14:textId="262D6835" w:rsidR="003A53AB" w:rsidRDefault="001C3C86">
          <w:pPr>
            <w:pStyle w:val="Obsah2"/>
            <w:tabs>
              <w:tab w:val="left" w:pos="660"/>
              <w:tab w:val="right" w:leader="dot" w:pos="9062"/>
            </w:tabs>
            <w:rPr>
              <w:rFonts w:asciiTheme="minorHAnsi" w:hAnsiTheme="minorHAnsi"/>
              <w:noProof/>
              <w:sz w:val="22"/>
              <w:lang w:eastAsia="cs-CZ"/>
            </w:rPr>
          </w:pPr>
          <w:r>
            <w:fldChar w:fldCharType="begin"/>
          </w:r>
          <w:r>
            <w:instrText xml:space="preserve"> TOC \o "1-3" \h \z \u </w:instrText>
          </w:r>
          <w:r>
            <w:fldChar w:fldCharType="separate"/>
          </w:r>
          <w:hyperlink w:anchor="_Toc50628153" w:history="1">
            <w:r w:rsidR="003A53AB" w:rsidRPr="003640B4">
              <w:rPr>
                <w:rStyle w:val="Hypertextovodkaz"/>
                <w:noProof/>
              </w:rPr>
              <w:t>a)</w:t>
            </w:r>
            <w:r w:rsidR="003A53AB">
              <w:rPr>
                <w:rFonts w:asciiTheme="minorHAnsi" w:hAnsiTheme="minorHAnsi"/>
                <w:noProof/>
                <w:sz w:val="22"/>
                <w:lang w:eastAsia="cs-CZ"/>
              </w:rPr>
              <w:tab/>
            </w:r>
            <w:r w:rsidR="003A53AB" w:rsidRPr="003640B4">
              <w:rPr>
                <w:rStyle w:val="Hypertextovodkaz"/>
                <w:noProof/>
              </w:rPr>
              <w:t>popis odstraňovaného objektu</w:t>
            </w:r>
            <w:r w:rsidR="003A53AB">
              <w:rPr>
                <w:noProof/>
                <w:webHidden/>
              </w:rPr>
              <w:tab/>
            </w:r>
            <w:r w:rsidR="003A53AB">
              <w:rPr>
                <w:noProof/>
                <w:webHidden/>
              </w:rPr>
              <w:fldChar w:fldCharType="begin"/>
            </w:r>
            <w:r w:rsidR="003A53AB">
              <w:rPr>
                <w:noProof/>
                <w:webHidden/>
              </w:rPr>
              <w:instrText xml:space="preserve"> PAGEREF _Toc50628153 \h </w:instrText>
            </w:r>
            <w:r w:rsidR="003A53AB">
              <w:rPr>
                <w:noProof/>
                <w:webHidden/>
              </w:rPr>
            </w:r>
            <w:r w:rsidR="003A53AB">
              <w:rPr>
                <w:noProof/>
                <w:webHidden/>
              </w:rPr>
              <w:fldChar w:fldCharType="separate"/>
            </w:r>
            <w:r w:rsidR="00CB76B5">
              <w:rPr>
                <w:noProof/>
                <w:webHidden/>
              </w:rPr>
              <w:t>1</w:t>
            </w:r>
            <w:r w:rsidR="003A53AB">
              <w:rPr>
                <w:noProof/>
                <w:webHidden/>
              </w:rPr>
              <w:fldChar w:fldCharType="end"/>
            </w:r>
          </w:hyperlink>
        </w:p>
        <w:p w14:paraId="25A12C77" w14:textId="53A94224" w:rsidR="003A53AB" w:rsidRDefault="00555B06">
          <w:pPr>
            <w:pStyle w:val="Obsah2"/>
            <w:tabs>
              <w:tab w:val="left" w:pos="660"/>
              <w:tab w:val="right" w:leader="dot" w:pos="9062"/>
            </w:tabs>
            <w:rPr>
              <w:rFonts w:asciiTheme="minorHAnsi" w:hAnsiTheme="minorHAnsi"/>
              <w:noProof/>
              <w:sz w:val="22"/>
              <w:lang w:eastAsia="cs-CZ"/>
            </w:rPr>
          </w:pPr>
          <w:hyperlink w:anchor="_Toc50628154" w:history="1">
            <w:r w:rsidR="003A53AB" w:rsidRPr="003640B4">
              <w:rPr>
                <w:rStyle w:val="Hypertextovodkaz"/>
                <w:noProof/>
              </w:rPr>
              <w:t>b)</w:t>
            </w:r>
            <w:r w:rsidR="003A53AB">
              <w:rPr>
                <w:rFonts w:asciiTheme="minorHAnsi" w:hAnsiTheme="minorHAnsi"/>
                <w:noProof/>
                <w:sz w:val="22"/>
                <w:lang w:eastAsia="cs-CZ"/>
              </w:rPr>
              <w:tab/>
            </w:r>
            <w:r w:rsidR="003A53AB" w:rsidRPr="003640B4">
              <w:rPr>
                <w:rStyle w:val="Hypertextovodkaz"/>
                <w:noProof/>
              </w:rPr>
              <w:t>výsledky stavebně technického průzkumu</w:t>
            </w:r>
            <w:r w:rsidR="003A53AB">
              <w:rPr>
                <w:noProof/>
                <w:webHidden/>
              </w:rPr>
              <w:tab/>
            </w:r>
            <w:r w:rsidR="003A53AB">
              <w:rPr>
                <w:noProof/>
                <w:webHidden/>
              </w:rPr>
              <w:fldChar w:fldCharType="begin"/>
            </w:r>
            <w:r w:rsidR="003A53AB">
              <w:rPr>
                <w:noProof/>
                <w:webHidden/>
              </w:rPr>
              <w:instrText xml:space="preserve"> PAGEREF _Toc50628154 \h </w:instrText>
            </w:r>
            <w:r w:rsidR="003A53AB">
              <w:rPr>
                <w:noProof/>
                <w:webHidden/>
              </w:rPr>
            </w:r>
            <w:r w:rsidR="003A53AB">
              <w:rPr>
                <w:noProof/>
                <w:webHidden/>
              </w:rPr>
              <w:fldChar w:fldCharType="separate"/>
            </w:r>
            <w:r w:rsidR="00CB76B5">
              <w:rPr>
                <w:noProof/>
                <w:webHidden/>
              </w:rPr>
              <w:t>1</w:t>
            </w:r>
            <w:r w:rsidR="003A53AB">
              <w:rPr>
                <w:noProof/>
                <w:webHidden/>
              </w:rPr>
              <w:fldChar w:fldCharType="end"/>
            </w:r>
          </w:hyperlink>
        </w:p>
        <w:p w14:paraId="333387A1" w14:textId="0833719A" w:rsidR="003A53AB" w:rsidRDefault="00555B06">
          <w:pPr>
            <w:pStyle w:val="Obsah2"/>
            <w:tabs>
              <w:tab w:val="left" w:pos="660"/>
              <w:tab w:val="right" w:leader="dot" w:pos="9062"/>
            </w:tabs>
            <w:rPr>
              <w:rFonts w:asciiTheme="minorHAnsi" w:hAnsiTheme="minorHAnsi"/>
              <w:noProof/>
              <w:sz w:val="22"/>
              <w:lang w:eastAsia="cs-CZ"/>
            </w:rPr>
          </w:pPr>
          <w:hyperlink w:anchor="_Toc50628155" w:history="1">
            <w:r w:rsidR="003A53AB" w:rsidRPr="003640B4">
              <w:rPr>
                <w:rStyle w:val="Hypertextovodkaz"/>
                <w:noProof/>
              </w:rPr>
              <w:t>c)</w:t>
            </w:r>
            <w:r w:rsidR="003A53AB">
              <w:rPr>
                <w:rFonts w:asciiTheme="minorHAnsi" w:hAnsiTheme="minorHAnsi"/>
                <w:noProof/>
                <w:sz w:val="22"/>
                <w:lang w:eastAsia="cs-CZ"/>
              </w:rPr>
              <w:tab/>
            </w:r>
            <w:r w:rsidR="003A53AB" w:rsidRPr="003640B4">
              <w:rPr>
                <w:rStyle w:val="Hypertextovodkaz"/>
                <w:noProof/>
              </w:rPr>
              <w:t>přípravné práce</w:t>
            </w:r>
            <w:r w:rsidR="003A53AB">
              <w:rPr>
                <w:noProof/>
                <w:webHidden/>
              </w:rPr>
              <w:tab/>
            </w:r>
            <w:r w:rsidR="003A53AB">
              <w:rPr>
                <w:noProof/>
                <w:webHidden/>
              </w:rPr>
              <w:fldChar w:fldCharType="begin"/>
            </w:r>
            <w:r w:rsidR="003A53AB">
              <w:rPr>
                <w:noProof/>
                <w:webHidden/>
              </w:rPr>
              <w:instrText xml:space="preserve"> PAGEREF _Toc50628155 \h </w:instrText>
            </w:r>
            <w:r w:rsidR="003A53AB">
              <w:rPr>
                <w:noProof/>
                <w:webHidden/>
              </w:rPr>
            </w:r>
            <w:r w:rsidR="003A53AB">
              <w:rPr>
                <w:noProof/>
                <w:webHidden/>
              </w:rPr>
              <w:fldChar w:fldCharType="separate"/>
            </w:r>
            <w:r w:rsidR="00CB76B5">
              <w:rPr>
                <w:noProof/>
                <w:webHidden/>
              </w:rPr>
              <w:t>1</w:t>
            </w:r>
            <w:r w:rsidR="003A53AB">
              <w:rPr>
                <w:noProof/>
                <w:webHidden/>
              </w:rPr>
              <w:fldChar w:fldCharType="end"/>
            </w:r>
          </w:hyperlink>
        </w:p>
        <w:p w14:paraId="5AE70061" w14:textId="7EF5D63B" w:rsidR="003A53AB" w:rsidRDefault="00555B06">
          <w:pPr>
            <w:pStyle w:val="Obsah2"/>
            <w:tabs>
              <w:tab w:val="left" w:pos="660"/>
              <w:tab w:val="right" w:leader="dot" w:pos="9062"/>
            </w:tabs>
            <w:rPr>
              <w:rFonts w:asciiTheme="minorHAnsi" w:hAnsiTheme="minorHAnsi"/>
              <w:noProof/>
              <w:sz w:val="22"/>
              <w:lang w:eastAsia="cs-CZ"/>
            </w:rPr>
          </w:pPr>
          <w:hyperlink w:anchor="_Toc50628156" w:history="1">
            <w:r w:rsidR="003A53AB" w:rsidRPr="003640B4">
              <w:rPr>
                <w:rStyle w:val="Hypertextovodkaz"/>
                <w:noProof/>
              </w:rPr>
              <w:t>d)</w:t>
            </w:r>
            <w:r w:rsidR="003A53AB">
              <w:rPr>
                <w:rFonts w:asciiTheme="minorHAnsi" w:hAnsiTheme="minorHAnsi"/>
                <w:noProof/>
                <w:sz w:val="22"/>
                <w:lang w:eastAsia="cs-CZ"/>
              </w:rPr>
              <w:tab/>
            </w:r>
            <w:r w:rsidR="003A53AB" w:rsidRPr="003640B4">
              <w:rPr>
                <w:rStyle w:val="Hypertextovodkaz"/>
                <w:noProof/>
              </w:rPr>
              <w:t>bourací práce</w:t>
            </w:r>
            <w:r w:rsidR="003A53AB">
              <w:rPr>
                <w:noProof/>
                <w:webHidden/>
              </w:rPr>
              <w:tab/>
            </w:r>
            <w:r w:rsidR="003A53AB">
              <w:rPr>
                <w:noProof/>
                <w:webHidden/>
              </w:rPr>
              <w:fldChar w:fldCharType="begin"/>
            </w:r>
            <w:r w:rsidR="003A53AB">
              <w:rPr>
                <w:noProof/>
                <w:webHidden/>
              </w:rPr>
              <w:instrText xml:space="preserve"> PAGEREF _Toc50628156 \h </w:instrText>
            </w:r>
            <w:r w:rsidR="003A53AB">
              <w:rPr>
                <w:noProof/>
                <w:webHidden/>
              </w:rPr>
            </w:r>
            <w:r w:rsidR="003A53AB">
              <w:rPr>
                <w:noProof/>
                <w:webHidden/>
              </w:rPr>
              <w:fldChar w:fldCharType="separate"/>
            </w:r>
            <w:r w:rsidR="00CB76B5">
              <w:rPr>
                <w:noProof/>
                <w:webHidden/>
              </w:rPr>
              <w:t>2</w:t>
            </w:r>
            <w:r w:rsidR="003A53AB">
              <w:rPr>
                <w:noProof/>
                <w:webHidden/>
              </w:rPr>
              <w:fldChar w:fldCharType="end"/>
            </w:r>
          </w:hyperlink>
        </w:p>
        <w:p w14:paraId="0C189F7E" w14:textId="0A34C69E" w:rsidR="001C3C86" w:rsidRPr="001C3C86" w:rsidRDefault="00555B06" w:rsidP="008E26ED">
          <w:pPr>
            <w:pStyle w:val="Obsah2"/>
            <w:tabs>
              <w:tab w:val="left" w:pos="660"/>
              <w:tab w:val="right" w:leader="dot" w:pos="9062"/>
            </w:tabs>
          </w:pPr>
          <w:hyperlink w:anchor="_Toc50628157" w:history="1">
            <w:r w:rsidR="003A53AB" w:rsidRPr="003640B4">
              <w:rPr>
                <w:rStyle w:val="Hypertextovodkaz"/>
                <w:noProof/>
              </w:rPr>
              <w:t>e)</w:t>
            </w:r>
            <w:r w:rsidR="003A53AB">
              <w:rPr>
                <w:rFonts w:asciiTheme="minorHAnsi" w:hAnsiTheme="minorHAnsi"/>
                <w:noProof/>
                <w:sz w:val="22"/>
                <w:lang w:eastAsia="cs-CZ"/>
              </w:rPr>
              <w:tab/>
            </w:r>
            <w:r w:rsidR="003A53AB" w:rsidRPr="003640B4">
              <w:rPr>
                <w:rStyle w:val="Hypertextovodkaz"/>
                <w:noProof/>
              </w:rPr>
              <w:t>bezpečnost a ochrana zdraví při práci</w:t>
            </w:r>
            <w:r w:rsidR="003A53AB">
              <w:rPr>
                <w:noProof/>
                <w:webHidden/>
              </w:rPr>
              <w:tab/>
            </w:r>
            <w:r w:rsidR="003A53AB">
              <w:rPr>
                <w:noProof/>
                <w:webHidden/>
              </w:rPr>
              <w:fldChar w:fldCharType="begin"/>
            </w:r>
            <w:r w:rsidR="003A53AB">
              <w:rPr>
                <w:noProof/>
                <w:webHidden/>
              </w:rPr>
              <w:instrText xml:space="preserve"> PAGEREF _Toc50628157 \h </w:instrText>
            </w:r>
            <w:r w:rsidR="003A53AB">
              <w:rPr>
                <w:noProof/>
                <w:webHidden/>
              </w:rPr>
            </w:r>
            <w:r w:rsidR="003A53AB">
              <w:rPr>
                <w:noProof/>
                <w:webHidden/>
              </w:rPr>
              <w:fldChar w:fldCharType="separate"/>
            </w:r>
            <w:r w:rsidR="00CB76B5">
              <w:rPr>
                <w:noProof/>
                <w:webHidden/>
              </w:rPr>
              <w:t>2</w:t>
            </w:r>
            <w:r w:rsidR="003A53AB">
              <w:rPr>
                <w:noProof/>
                <w:webHidden/>
              </w:rPr>
              <w:fldChar w:fldCharType="end"/>
            </w:r>
          </w:hyperlink>
          <w:r w:rsidR="001C3C86">
            <w:rPr>
              <w:b/>
              <w:bCs/>
            </w:rPr>
            <w:fldChar w:fldCharType="end"/>
          </w:r>
        </w:p>
      </w:sdtContent>
    </w:sdt>
    <w:p w14:paraId="0BF9F7B9" w14:textId="3BA9A727" w:rsidR="002A0D94" w:rsidRDefault="00BE356E" w:rsidP="002A0D94">
      <w:pPr>
        <w:pStyle w:val="Nadpis2"/>
      </w:pPr>
      <w:bookmarkStart w:id="0" w:name="_Toc50628153"/>
      <w:r>
        <w:t>popis odstraňovaného objektu</w:t>
      </w:r>
      <w:bookmarkEnd w:id="0"/>
    </w:p>
    <w:p w14:paraId="6CC2C7B8" w14:textId="16A316C1" w:rsidR="00DA5429" w:rsidRDefault="00DA5429" w:rsidP="00DA5429">
      <w:r>
        <w:t>Objektem určeným k odstranění je plechová hala</w:t>
      </w:r>
      <w:r w:rsidR="00923C3D">
        <w:t>. Ta je</w:t>
      </w:r>
      <w:r>
        <w:t xml:space="preserve"> využívaná jako garáž a sklad techniky a strojů</w:t>
      </w:r>
      <w:r w:rsidR="00923C3D">
        <w:t xml:space="preserve">, které jsou </w:t>
      </w:r>
      <w:r>
        <w:t>užív</w:t>
      </w:r>
      <w:r w:rsidR="00923C3D">
        <w:t>ány</w:t>
      </w:r>
      <w:r>
        <w:t xml:space="preserve"> pro potřeby údržby veřejné zeleně.</w:t>
      </w:r>
      <w:r w:rsidR="008434F0" w:rsidRPr="008434F0">
        <w:t xml:space="preserve"> </w:t>
      </w:r>
      <w:r w:rsidR="008434F0">
        <w:t>Odstraňovaná stavba je součástí areálu střediska veřejné zeleně Technických služeb NJ, v němž je situovaná na severním okraji parcely, podél místní komunikace – ul. Palackého. Mimo řešený sklad se v areálu nachází několik zděných budov. Provedení demolice skladu je navrženo jako první z etap v rámci plánované revitalizace střediska veřejné zeleně. Funkci stávajícího objektu skladovací haly budou následně zajišťovat nově projektované stavby.</w:t>
      </w:r>
    </w:p>
    <w:p w14:paraId="7C94F4A0" w14:textId="5470D9C9" w:rsidR="00BA409A" w:rsidRDefault="00BA409A" w:rsidP="00BA409A">
      <w:r>
        <w:t>Konstrukčně se jedná o ocelovou jednolodní rámovou halu. Rozpětí lodi je 10 m, vzdálenost rámových vazeb 3,6 m. Celková délka objektu je 50,5 m. Střecha je sedlová se sklonem přibližně 6 ° a výškou hřebene +4,400 m.</w:t>
      </w:r>
    </w:p>
    <w:p w14:paraId="79799E79" w14:textId="2536F7E8" w:rsidR="00BA409A" w:rsidRDefault="00BA409A" w:rsidP="00BA409A">
      <w:r>
        <w:t xml:space="preserve">Hlavním nosným prvkem řešeného objektu je trojkloubový příhradový rám svařovaný z ocelových trubkových profilů </w:t>
      </w:r>
      <w:r>
        <w:rPr>
          <w:rFonts w:cs="Arial"/>
        </w:rPr>
        <w:t>Ø</w:t>
      </w:r>
      <w:r>
        <w:t xml:space="preserve">50 a 22 mm. Vaznice, paždíky a sloupky u štítových stěn jsou také z trubkových profilů </w:t>
      </w:r>
      <w:r>
        <w:rPr>
          <w:rFonts w:cs="Arial"/>
        </w:rPr>
        <w:t>Ø</w:t>
      </w:r>
      <w:r>
        <w:t>50 mm. Stejný průřez mají rovněž větrová ztužidla podélných stěn.</w:t>
      </w:r>
      <w:r w:rsidR="003A53AB">
        <w:t xml:space="preserve"> Objekt je založen na betonových patkách.</w:t>
      </w:r>
    </w:p>
    <w:p w14:paraId="49C18E01" w14:textId="6665DF0E" w:rsidR="00BA409A" w:rsidRDefault="00BA409A" w:rsidP="00BA409A">
      <w:r>
        <w:t>Hala je nevytápěná a nezateplená, opláštění stěn i střechy je řešeno pouze obložením ocelovým vlnitým plechem. Podlaha objektu je betonová. Na jižním průčelí objektu se nachází 4 dvoukřídlá vrata výšky 3,45 m a šířky 3,6 m.</w:t>
      </w:r>
    </w:p>
    <w:p w14:paraId="7BF18C01" w14:textId="3903EB4E" w:rsidR="00BA409A" w:rsidRPr="00BA409A" w:rsidRDefault="00BA409A" w:rsidP="00DA5429">
      <w:pPr>
        <w:rPr>
          <w:color w:val="92D050"/>
        </w:rPr>
      </w:pPr>
      <w:r w:rsidRPr="003A53AB">
        <w:t xml:space="preserve">Objekt je napájen elektřinou pro zajištění umělého osvětlení skladu. </w:t>
      </w:r>
    </w:p>
    <w:p w14:paraId="4F2C96FE" w14:textId="1C9F52EF" w:rsidR="00BA409A" w:rsidRDefault="00BA409A" w:rsidP="00BA409A">
      <w:pPr>
        <w:pStyle w:val="Nadpis2"/>
      </w:pPr>
      <w:bookmarkStart w:id="1" w:name="_Toc50628154"/>
      <w:r>
        <w:t>výsledky stavebně technického průzkumu</w:t>
      </w:r>
      <w:bookmarkEnd w:id="1"/>
    </w:p>
    <w:p w14:paraId="6ED6F01A" w14:textId="38427C3D" w:rsidR="008434F0" w:rsidRDefault="008434F0" w:rsidP="00BA409A">
      <w:r>
        <w:t>Na místě byla</w:t>
      </w:r>
      <w:r w:rsidR="00BA409A">
        <w:t xml:space="preserve"> projektantem</w:t>
      </w:r>
      <w:r>
        <w:t xml:space="preserve"> provedena osobní prohlídka stavby a jejího okolí</w:t>
      </w:r>
      <w:r w:rsidR="00BA409A">
        <w:t>, zaměření stavby a pořízení fotodokumentace. Objekt je v současnosti aktivně využívaný jako garáž a sklad</w:t>
      </w:r>
      <w:r>
        <w:t>.</w:t>
      </w:r>
      <w:r w:rsidR="00BA409A">
        <w:t xml:space="preserve"> </w:t>
      </w:r>
      <w:r>
        <w:t>S</w:t>
      </w:r>
      <w:r w:rsidR="00BA409A">
        <w:t>tavební konstrukce jsou zřejmě za hranou své životnosti, avšak jejich stav není havarijní a slouží svému účelu bez omezení. Nebyly zjištěny žádné statické poruchy nosných prvků. Všechny nadzemní části haly jsou z</w:t>
      </w:r>
      <w:r w:rsidR="003A53AB">
        <w:t> </w:t>
      </w:r>
      <w:r w:rsidR="00BA409A">
        <w:t>oceli</w:t>
      </w:r>
      <w:r w:rsidR="003A53AB">
        <w:t>, základy tvoří betonové patky.</w:t>
      </w:r>
    </w:p>
    <w:p w14:paraId="273D5964" w14:textId="7D102135" w:rsidR="00BA409A" w:rsidRPr="00BA409A" w:rsidRDefault="008434F0" w:rsidP="00BA409A">
      <w:r>
        <w:t>Objekt stojí samostatně s dostatečným odstupem od ostatních staveb. Okolí místa stavby má převážně charakter průmyslové/technické oblasti, proto se během bouracích prací nepředpokládají významné negativní vlivy na okolní stavby a pozemky.</w:t>
      </w:r>
    </w:p>
    <w:p w14:paraId="00E491A6" w14:textId="0C6AE08D" w:rsidR="002A0D94" w:rsidRDefault="00BE356E" w:rsidP="002A0D94">
      <w:pPr>
        <w:pStyle w:val="Nadpis2"/>
      </w:pPr>
      <w:bookmarkStart w:id="2" w:name="_Toc50628155"/>
      <w:r>
        <w:t>přípravné práce</w:t>
      </w:r>
      <w:bookmarkEnd w:id="2"/>
    </w:p>
    <w:p w14:paraId="27A03F97" w14:textId="7AF908DC" w:rsidR="008F50DD" w:rsidRDefault="00923C3D" w:rsidP="00980CB4">
      <w:bookmarkStart w:id="3" w:name="_Toc26019648"/>
      <w:r>
        <w:t>Před samotným zahájením bouracích prací</w:t>
      </w:r>
      <w:r w:rsidR="004F27BB">
        <w:t xml:space="preserve"> zajistí investor vyklizení</w:t>
      </w:r>
      <w:r>
        <w:t xml:space="preserve"> objekt</w:t>
      </w:r>
      <w:r w:rsidR="004F27BB">
        <w:t>u a</w:t>
      </w:r>
      <w:r>
        <w:t xml:space="preserve"> odpojen</w:t>
      </w:r>
      <w:r w:rsidR="004F27BB">
        <w:t>í</w:t>
      </w:r>
      <w:r>
        <w:t xml:space="preserve"> od </w:t>
      </w:r>
      <w:r w:rsidR="004F27BB">
        <w:t xml:space="preserve">zdroje </w:t>
      </w:r>
      <w:r>
        <w:t>e</w:t>
      </w:r>
      <w:r w:rsidR="004F27BB">
        <w:t>nergie.</w:t>
      </w:r>
      <w:r>
        <w:t xml:space="preserve"> </w:t>
      </w:r>
      <w:r w:rsidR="004F27BB">
        <w:t>B</w:t>
      </w:r>
      <w:r>
        <w:t>udou demontovány svítidla včetně přívodních kabelů</w:t>
      </w:r>
      <w:r w:rsidR="004F27BB">
        <w:t xml:space="preserve"> a případné další technologické vybavení</w:t>
      </w:r>
      <w:r>
        <w:t xml:space="preserve">. Náletové dřeviny nacházející se podél severního a západního průčelí budou vykáceny. </w:t>
      </w:r>
    </w:p>
    <w:p w14:paraId="667920D8" w14:textId="1B8B9277" w:rsidR="00923C3D" w:rsidRDefault="00923C3D" w:rsidP="00980CB4">
      <w:r>
        <w:t>Staveniště bude oploceno, aby byl zamezen přístup neoprávněných osob do místa odstraňované stavby. Oplocení nebude zasahovat do přilehlé místní komunikace (ul. Palackého).</w:t>
      </w:r>
      <w:r w:rsidR="004F27BB">
        <w:t xml:space="preserve"> Bude vymezen prostor pro uložení vybouraných materiálů.</w:t>
      </w:r>
    </w:p>
    <w:p w14:paraId="7072CC6E" w14:textId="040F3953" w:rsidR="002A0D94" w:rsidRDefault="00BE356E" w:rsidP="002A0D94">
      <w:pPr>
        <w:pStyle w:val="Nadpis2"/>
      </w:pPr>
      <w:bookmarkStart w:id="4" w:name="_Toc50628156"/>
      <w:bookmarkEnd w:id="3"/>
      <w:r>
        <w:lastRenderedPageBreak/>
        <w:t>bourací práce</w:t>
      </w:r>
      <w:bookmarkEnd w:id="4"/>
    </w:p>
    <w:p w14:paraId="5D9BB04F" w14:textId="1355FF89" w:rsidR="00D129D8" w:rsidRDefault="004F27BB" w:rsidP="008F50DD">
      <w:r>
        <w:t>Konkrétní postup</w:t>
      </w:r>
      <w:r w:rsidR="00001FA6">
        <w:t>y</w:t>
      </w:r>
      <w:r>
        <w:t xml:space="preserve"> </w:t>
      </w:r>
      <w:r w:rsidR="00001FA6">
        <w:t xml:space="preserve">bouracích prací budou stanoveny zhotovitelem na základě jeho možností. S ohledem na </w:t>
      </w:r>
      <w:r w:rsidR="003A53AB">
        <w:t xml:space="preserve">převážný </w:t>
      </w:r>
      <w:r w:rsidR="00001FA6">
        <w:t>výskyt ocelových konstrukcí se předpokládá, že bourací práce budou mít charakter demontáže. Odstranění stavby bude prováděno ručně nebo s pomocí strojní technologie, nepředpokládá se použití výbušnin.</w:t>
      </w:r>
      <w:r w:rsidR="00E73D56">
        <w:t xml:space="preserve"> Objekt bude postupně rozebrán odshora dolů, se současným a průběžným tříděním a odděleným ukládáním vybouraných hmot. Nosné konstrukce budou vždy rozebrány až po odstranění nesených konstrukcí. </w:t>
      </w:r>
    </w:p>
    <w:p w14:paraId="1255F499" w14:textId="23B5AC9A" w:rsidR="00001FA6" w:rsidRDefault="00001FA6" w:rsidP="008F50DD">
      <w:r>
        <w:t>Předpokládaný postup prací:</w:t>
      </w:r>
    </w:p>
    <w:p w14:paraId="0BAB4586" w14:textId="191C548A" w:rsidR="00001FA6" w:rsidRDefault="00001FA6" w:rsidP="00001FA6">
      <w:pPr>
        <w:pStyle w:val="Odstavecseseznamem"/>
        <w:numPr>
          <w:ilvl w:val="0"/>
          <w:numId w:val="52"/>
        </w:numPr>
      </w:pPr>
      <w:r>
        <w:t>vyklizení skladu a demontáž vnitřního vybavení</w:t>
      </w:r>
    </w:p>
    <w:p w14:paraId="6EE3EF92" w14:textId="6359E219" w:rsidR="00001FA6" w:rsidRDefault="00001FA6" w:rsidP="00001FA6">
      <w:pPr>
        <w:pStyle w:val="Odstavecseseznamem"/>
        <w:numPr>
          <w:ilvl w:val="0"/>
          <w:numId w:val="52"/>
        </w:numPr>
      </w:pPr>
      <w:r>
        <w:t>sejmutí opláštění stěn a střechy haly</w:t>
      </w:r>
    </w:p>
    <w:p w14:paraId="0A43B9AB" w14:textId="3C2F35DE" w:rsidR="00001FA6" w:rsidRDefault="00001FA6" w:rsidP="00001FA6">
      <w:pPr>
        <w:pStyle w:val="Odstavecseseznamem"/>
        <w:numPr>
          <w:ilvl w:val="0"/>
          <w:numId w:val="52"/>
        </w:numPr>
      </w:pPr>
      <w:r>
        <w:t>vyjmutí a demontáž křídel vrat</w:t>
      </w:r>
    </w:p>
    <w:p w14:paraId="7A32640E" w14:textId="15A2A5E4" w:rsidR="00001FA6" w:rsidRDefault="00E73D56" w:rsidP="00001FA6">
      <w:pPr>
        <w:pStyle w:val="Odstavecseseznamem"/>
        <w:numPr>
          <w:ilvl w:val="0"/>
          <w:numId w:val="52"/>
        </w:numPr>
      </w:pPr>
      <w:r>
        <w:t>demontáž vaznic, paždíků a sloupků štítových stěn</w:t>
      </w:r>
    </w:p>
    <w:p w14:paraId="1BC2E915" w14:textId="58471199" w:rsidR="00E73D56" w:rsidRDefault="00E73D56" w:rsidP="00001FA6">
      <w:pPr>
        <w:pStyle w:val="Odstavecseseznamem"/>
        <w:numPr>
          <w:ilvl w:val="0"/>
          <w:numId w:val="52"/>
        </w:numPr>
      </w:pPr>
      <w:r>
        <w:t>postupná demontáž kompletních rámů spolu se zavětrováním</w:t>
      </w:r>
    </w:p>
    <w:p w14:paraId="397AEDD4" w14:textId="63EEA64C" w:rsidR="003A53AB" w:rsidRDefault="003A53AB" w:rsidP="00001FA6">
      <w:pPr>
        <w:pStyle w:val="Odstavecseseznamem"/>
        <w:numPr>
          <w:ilvl w:val="0"/>
          <w:numId w:val="52"/>
        </w:numPr>
      </w:pPr>
      <w:r>
        <w:t>vybourání betonových základových patek</w:t>
      </w:r>
    </w:p>
    <w:p w14:paraId="5D7CC738" w14:textId="77777777" w:rsidR="00E73D56" w:rsidRDefault="00E73D56" w:rsidP="00E73D56">
      <w:r w:rsidRPr="006851DC">
        <w:t>V</w:t>
      </w:r>
      <w:r>
        <w:t xml:space="preserve"> návaznosti na projektované bourací práce vzniknou následující odpady </w:t>
      </w:r>
      <w:r w:rsidRPr="00B04312">
        <w:t>(zatřízeny dle vyhl</w:t>
      </w:r>
      <w:r>
        <w:t>ášky</w:t>
      </w:r>
      <w:r w:rsidRPr="00B04312">
        <w:t xml:space="preserve"> 93/2016 </w:t>
      </w:r>
      <w:proofErr w:type="spellStart"/>
      <w:r w:rsidRPr="00B04312">
        <w:t>Sb</w:t>
      </w:r>
      <w:proofErr w:type="spellEnd"/>
      <w:r w:rsidRPr="00B04312">
        <w:t>):</w:t>
      </w:r>
    </w:p>
    <w:tbl>
      <w:tblPr>
        <w:tblW w:w="5000" w:type="pct"/>
        <w:tblCellMar>
          <w:left w:w="10" w:type="dxa"/>
          <w:right w:w="10" w:type="dxa"/>
        </w:tblCellMar>
        <w:tblLook w:val="0000" w:firstRow="0" w:lastRow="0" w:firstColumn="0" w:lastColumn="0" w:noHBand="0" w:noVBand="0"/>
      </w:tblPr>
      <w:tblGrid>
        <w:gridCol w:w="1323"/>
        <w:gridCol w:w="144"/>
        <w:gridCol w:w="786"/>
        <w:gridCol w:w="2660"/>
        <w:gridCol w:w="698"/>
        <w:gridCol w:w="557"/>
        <w:gridCol w:w="1073"/>
        <w:gridCol w:w="1831"/>
      </w:tblGrid>
      <w:tr w:rsidR="00E73D56" w:rsidRPr="00C96F27" w14:paraId="4BB2965D" w14:textId="77777777" w:rsidTr="00386D8D">
        <w:trPr>
          <w:trHeight w:val="233"/>
        </w:trPr>
        <w:tc>
          <w:tcPr>
            <w:tcW w:w="736" w:type="pct"/>
            <w:vMerge w:val="restart"/>
            <w:tcMar>
              <w:top w:w="0" w:type="dxa"/>
              <w:left w:w="108" w:type="dxa"/>
              <w:bottom w:w="0" w:type="dxa"/>
              <w:right w:w="108" w:type="dxa"/>
            </w:tcMar>
            <w:vAlign w:val="center"/>
          </w:tcPr>
          <w:p w14:paraId="16F38C68"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sidRPr="00C96F27">
              <w:rPr>
                <w:rFonts w:ascii="Arial" w:hAnsi="Arial" w:cs="Arial"/>
                <w:i/>
                <w:sz w:val="20"/>
                <w:szCs w:val="20"/>
                <w:lang w:eastAsia="cs-CZ"/>
              </w:rPr>
              <w:t>Katalogové číslo</w:t>
            </w:r>
          </w:p>
        </w:tc>
        <w:tc>
          <w:tcPr>
            <w:tcW w:w="1998" w:type="pct"/>
            <w:gridSpan w:val="3"/>
            <w:vMerge w:val="restart"/>
            <w:tcMar>
              <w:top w:w="0" w:type="dxa"/>
              <w:left w:w="108" w:type="dxa"/>
              <w:bottom w:w="0" w:type="dxa"/>
              <w:right w:w="108" w:type="dxa"/>
            </w:tcMar>
            <w:vAlign w:val="center"/>
          </w:tcPr>
          <w:p w14:paraId="185E3C30"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i/>
                <w:sz w:val="20"/>
                <w:szCs w:val="20"/>
                <w:lang w:eastAsia="cs-CZ"/>
              </w:rPr>
            </w:pPr>
            <w:r w:rsidRPr="00C96F27">
              <w:rPr>
                <w:rFonts w:ascii="Arial" w:hAnsi="Arial" w:cs="Arial"/>
                <w:i/>
                <w:sz w:val="20"/>
                <w:szCs w:val="20"/>
                <w:lang w:eastAsia="cs-CZ"/>
              </w:rPr>
              <w:t>Název odpadu</w:t>
            </w:r>
          </w:p>
        </w:tc>
        <w:tc>
          <w:tcPr>
            <w:tcW w:w="704" w:type="pct"/>
            <w:gridSpan w:val="2"/>
            <w:vAlign w:val="center"/>
          </w:tcPr>
          <w:p w14:paraId="7237BF12"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Pr>
                <w:rFonts w:ascii="Arial" w:hAnsi="Arial" w:cs="Arial"/>
                <w:i/>
                <w:sz w:val="20"/>
                <w:szCs w:val="20"/>
                <w:lang w:eastAsia="cs-CZ"/>
              </w:rPr>
              <w:t>Množství</w:t>
            </w:r>
          </w:p>
        </w:tc>
        <w:tc>
          <w:tcPr>
            <w:tcW w:w="547" w:type="pct"/>
            <w:vMerge w:val="restart"/>
            <w:tcMar>
              <w:top w:w="0" w:type="dxa"/>
              <w:left w:w="108" w:type="dxa"/>
              <w:bottom w:w="0" w:type="dxa"/>
              <w:right w:w="108" w:type="dxa"/>
            </w:tcMar>
            <w:vAlign w:val="center"/>
          </w:tcPr>
          <w:p w14:paraId="5FAA1A3C"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sidRPr="00C96F27">
              <w:rPr>
                <w:rFonts w:ascii="Arial" w:hAnsi="Arial" w:cs="Arial"/>
                <w:i/>
                <w:sz w:val="20"/>
                <w:szCs w:val="20"/>
                <w:lang w:eastAsia="cs-CZ"/>
              </w:rPr>
              <w:t>Kategorie</w:t>
            </w:r>
          </w:p>
        </w:tc>
        <w:tc>
          <w:tcPr>
            <w:tcW w:w="1015" w:type="pct"/>
            <w:vMerge w:val="restart"/>
            <w:vAlign w:val="center"/>
          </w:tcPr>
          <w:p w14:paraId="1BBD6403"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Pr>
                <w:rFonts w:ascii="Arial" w:hAnsi="Arial" w:cs="Arial"/>
                <w:i/>
                <w:sz w:val="20"/>
                <w:szCs w:val="20"/>
                <w:lang w:eastAsia="cs-CZ"/>
              </w:rPr>
              <w:t>Způsob nakládání</w:t>
            </w:r>
          </w:p>
        </w:tc>
      </w:tr>
      <w:tr w:rsidR="00E73D56" w:rsidRPr="00C96F27" w14:paraId="6C9E94C5" w14:textId="77777777" w:rsidTr="003A53AB">
        <w:trPr>
          <w:trHeight w:val="232"/>
        </w:trPr>
        <w:tc>
          <w:tcPr>
            <w:tcW w:w="736" w:type="pct"/>
            <w:vMerge/>
            <w:tcBorders>
              <w:bottom w:val="single" w:sz="4" w:space="0" w:color="auto"/>
            </w:tcBorders>
            <w:tcMar>
              <w:top w:w="0" w:type="dxa"/>
              <w:left w:w="108" w:type="dxa"/>
              <w:bottom w:w="0" w:type="dxa"/>
              <w:right w:w="108" w:type="dxa"/>
            </w:tcMar>
          </w:tcPr>
          <w:p w14:paraId="1D3F4E5F"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1998" w:type="pct"/>
            <w:gridSpan w:val="3"/>
            <w:vMerge/>
            <w:tcBorders>
              <w:bottom w:val="single" w:sz="4" w:space="0" w:color="auto"/>
            </w:tcBorders>
            <w:tcMar>
              <w:top w:w="0" w:type="dxa"/>
              <w:left w:w="108" w:type="dxa"/>
              <w:bottom w:w="0" w:type="dxa"/>
              <w:right w:w="108" w:type="dxa"/>
            </w:tcMar>
          </w:tcPr>
          <w:p w14:paraId="20AE4B29"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391" w:type="pct"/>
            <w:tcBorders>
              <w:bottom w:val="single" w:sz="4" w:space="0" w:color="auto"/>
            </w:tcBorders>
            <w:vAlign w:val="center"/>
          </w:tcPr>
          <w:p w14:paraId="598623A8" w14:textId="77777777" w:rsidR="00E73D56" w:rsidRPr="00BD622B"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Cs/>
                <w:sz w:val="20"/>
                <w:szCs w:val="20"/>
                <w:lang w:eastAsia="cs-CZ"/>
              </w:rPr>
            </w:pPr>
            <w:r w:rsidRPr="00BD622B">
              <w:rPr>
                <w:rFonts w:ascii="Arial" w:hAnsi="Arial" w:cs="Arial"/>
                <w:iCs/>
                <w:sz w:val="20"/>
                <w:szCs w:val="20"/>
                <w:lang w:eastAsia="cs-CZ"/>
              </w:rPr>
              <w:t>[m</w:t>
            </w:r>
            <w:r w:rsidRPr="00BD622B">
              <w:rPr>
                <w:rFonts w:ascii="Arial" w:hAnsi="Arial" w:cs="Arial"/>
                <w:iCs/>
                <w:sz w:val="20"/>
                <w:szCs w:val="20"/>
                <w:vertAlign w:val="superscript"/>
                <w:lang w:eastAsia="cs-CZ"/>
              </w:rPr>
              <w:t>3</w:t>
            </w:r>
            <w:r w:rsidRPr="00BD622B">
              <w:rPr>
                <w:rFonts w:ascii="Arial" w:hAnsi="Arial" w:cs="Arial"/>
                <w:iCs/>
                <w:sz w:val="20"/>
                <w:szCs w:val="20"/>
                <w:lang w:eastAsia="cs-CZ"/>
              </w:rPr>
              <w:t>]</w:t>
            </w:r>
          </w:p>
        </w:tc>
        <w:tc>
          <w:tcPr>
            <w:tcW w:w="313" w:type="pct"/>
            <w:tcBorders>
              <w:bottom w:val="single" w:sz="4" w:space="0" w:color="auto"/>
            </w:tcBorders>
            <w:vAlign w:val="center"/>
          </w:tcPr>
          <w:p w14:paraId="0A12D3FA" w14:textId="77777777" w:rsidR="00E73D56" w:rsidRPr="00BD622B"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Cs/>
                <w:sz w:val="20"/>
                <w:szCs w:val="20"/>
                <w:lang w:eastAsia="cs-CZ"/>
              </w:rPr>
            </w:pPr>
            <w:r w:rsidRPr="00BD622B">
              <w:rPr>
                <w:rFonts w:ascii="Arial" w:hAnsi="Arial" w:cs="Arial"/>
                <w:iCs/>
                <w:sz w:val="20"/>
                <w:szCs w:val="20"/>
                <w:lang w:eastAsia="cs-CZ"/>
              </w:rPr>
              <w:t>[t]</w:t>
            </w:r>
          </w:p>
        </w:tc>
        <w:tc>
          <w:tcPr>
            <w:tcW w:w="547" w:type="pct"/>
            <w:vMerge/>
            <w:tcBorders>
              <w:bottom w:val="single" w:sz="4" w:space="0" w:color="auto"/>
            </w:tcBorders>
            <w:tcMar>
              <w:top w:w="0" w:type="dxa"/>
              <w:left w:w="108" w:type="dxa"/>
              <w:bottom w:w="0" w:type="dxa"/>
              <w:right w:w="108" w:type="dxa"/>
            </w:tcMar>
          </w:tcPr>
          <w:p w14:paraId="0F5ADF89"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1015" w:type="pct"/>
            <w:vMerge/>
            <w:tcBorders>
              <w:bottom w:val="single" w:sz="4" w:space="0" w:color="auto"/>
            </w:tcBorders>
          </w:tcPr>
          <w:p w14:paraId="2C3E49B6"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r>
      <w:tr w:rsidR="003A53AB" w:rsidRPr="00C96F27" w14:paraId="68324CD1" w14:textId="77777777" w:rsidTr="00386D8D">
        <w:tc>
          <w:tcPr>
            <w:tcW w:w="736" w:type="pct"/>
            <w:tcMar>
              <w:top w:w="0" w:type="dxa"/>
              <w:left w:w="108" w:type="dxa"/>
              <w:bottom w:w="0" w:type="dxa"/>
              <w:right w:w="108" w:type="dxa"/>
            </w:tcMar>
            <w:vAlign w:val="center"/>
          </w:tcPr>
          <w:p w14:paraId="06CC3836" w14:textId="424D598C" w:rsidR="003A53AB" w:rsidRPr="00C96F27" w:rsidRDefault="003A53AB"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17 01 01</w:t>
            </w:r>
          </w:p>
        </w:tc>
        <w:tc>
          <w:tcPr>
            <w:tcW w:w="1998" w:type="pct"/>
            <w:gridSpan w:val="3"/>
            <w:tcMar>
              <w:top w:w="0" w:type="dxa"/>
              <w:left w:w="108" w:type="dxa"/>
              <w:bottom w:w="0" w:type="dxa"/>
              <w:right w:w="108" w:type="dxa"/>
            </w:tcMar>
          </w:tcPr>
          <w:p w14:paraId="63951767" w14:textId="20E62901" w:rsidR="003A53AB" w:rsidRDefault="003A53AB"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Pr>
                <w:rFonts w:ascii="Arial" w:hAnsi="Arial" w:cs="Arial"/>
                <w:sz w:val="20"/>
                <w:szCs w:val="20"/>
                <w:lang w:eastAsia="cs-CZ"/>
              </w:rPr>
              <w:t>Beton</w:t>
            </w:r>
          </w:p>
        </w:tc>
        <w:tc>
          <w:tcPr>
            <w:tcW w:w="391" w:type="pct"/>
            <w:tcBorders>
              <w:top w:val="single" w:sz="4" w:space="0" w:color="auto"/>
            </w:tcBorders>
          </w:tcPr>
          <w:p w14:paraId="69AFB590" w14:textId="7C526844" w:rsidR="003A53AB" w:rsidRDefault="003A53AB"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34,0</w:t>
            </w:r>
          </w:p>
        </w:tc>
        <w:tc>
          <w:tcPr>
            <w:tcW w:w="313" w:type="pct"/>
            <w:tcBorders>
              <w:top w:val="single" w:sz="4" w:space="0" w:color="auto"/>
            </w:tcBorders>
          </w:tcPr>
          <w:p w14:paraId="14D54BC7" w14:textId="080E6B3D" w:rsidR="003A53AB" w:rsidRDefault="003A53AB"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85,0</w:t>
            </w:r>
          </w:p>
        </w:tc>
        <w:tc>
          <w:tcPr>
            <w:tcW w:w="547" w:type="pct"/>
            <w:tcMar>
              <w:top w:w="0" w:type="dxa"/>
              <w:left w:w="108" w:type="dxa"/>
              <w:bottom w:w="0" w:type="dxa"/>
              <w:right w:w="108" w:type="dxa"/>
            </w:tcMar>
          </w:tcPr>
          <w:p w14:paraId="55C8CB70" w14:textId="4DF13CDB" w:rsidR="003A53AB" w:rsidRPr="00C96F27" w:rsidRDefault="003A53AB"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O</w:t>
            </w:r>
          </w:p>
        </w:tc>
        <w:tc>
          <w:tcPr>
            <w:tcW w:w="1015" w:type="pct"/>
          </w:tcPr>
          <w:p w14:paraId="13315FBB" w14:textId="3D7176FF" w:rsidR="003A53AB" w:rsidRDefault="003A53AB"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řízená skládka</w:t>
            </w:r>
          </w:p>
        </w:tc>
      </w:tr>
      <w:tr w:rsidR="00E73D56" w:rsidRPr="00C96F27" w14:paraId="2AEDEEED" w14:textId="77777777" w:rsidTr="003A53AB">
        <w:tc>
          <w:tcPr>
            <w:tcW w:w="736" w:type="pct"/>
            <w:tcMar>
              <w:top w:w="0" w:type="dxa"/>
              <w:left w:w="108" w:type="dxa"/>
              <w:bottom w:w="0" w:type="dxa"/>
              <w:right w:w="108" w:type="dxa"/>
            </w:tcMar>
            <w:vAlign w:val="center"/>
          </w:tcPr>
          <w:p w14:paraId="1ABE389D"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C96F27">
              <w:rPr>
                <w:rFonts w:ascii="Arial" w:hAnsi="Arial" w:cs="Arial"/>
                <w:sz w:val="20"/>
                <w:szCs w:val="20"/>
                <w:lang w:eastAsia="cs-CZ"/>
              </w:rPr>
              <w:t>17 0</w:t>
            </w:r>
            <w:r>
              <w:rPr>
                <w:rFonts w:ascii="Arial" w:hAnsi="Arial" w:cs="Arial"/>
                <w:sz w:val="20"/>
                <w:szCs w:val="20"/>
                <w:lang w:eastAsia="cs-CZ"/>
              </w:rPr>
              <w:t>4</w:t>
            </w:r>
            <w:r w:rsidRPr="00C96F27">
              <w:rPr>
                <w:rFonts w:ascii="Arial" w:hAnsi="Arial" w:cs="Arial"/>
                <w:sz w:val="20"/>
                <w:szCs w:val="20"/>
                <w:lang w:eastAsia="cs-CZ"/>
              </w:rPr>
              <w:t xml:space="preserve"> 0</w:t>
            </w:r>
            <w:r>
              <w:rPr>
                <w:rFonts w:ascii="Arial" w:hAnsi="Arial" w:cs="Arial"/>
                <w:sz w:val="20"/>
                <w:szCs w:val="20"/>
                <w:lang w:eastAsia="cs-CZ"/>
              </w:rPr>
              <w:t>5</w:t>
            </w:r>
          </w:p>
        </w:tc>
        <w:tc>
          <w:tcPr>
            <w:tcW w:w="1998" w:type="pct"/>
            <w:gridSpan w:val="3"/>
            <w:tcMar>
              <w:top w:w="0" w:type="dxa"/>
              <w:left w:w="108" w:type="dxa"/>
              <w:bottom w:w="0" w:type="dxa"/>
              <w:right w:w="108" w:type="dxa"/>
            </w:tcMar>
          </w:tcPr>
          <w:p w14:paraId="0E8E9A02"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Pr>
                <w:rFonts w:ascii="Arial" w:hAnsi="Arial" w:cs="Arial"/>
                <w:sz w:val="20"/>
                <w:szCs w:val="20"/>
                <w:lang w:eastAsia="cs-CZ"/>
              </w:rPr>
              <w:t>Železo a ocel</w:t>
            </w:r>
          </w:p>
        </w:tc>
        <w:tc>
          <w:tcPr>
            <w:tcW w:w="391" w:type="pct"/>
          </w:tcPr>
          <w:p w14:paraId="0FB6F055" w14:textId="77777777" w:rsidR="00E73D56"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4,4</w:t>
            </w:r>
          </w:p>
        </w:tc>
        <w:tc>
          <w:tcPr>
            <w:tcW w:w="313" w:type="pct"/>
          </w:tcPr>
          <w:p w14:paraId="782EA9CB"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14,3</w:t>
            </w:r>
          </w:p>
        </w:tc>
        <w:tc>
          <w:tcPr>
            <w:tcW w:w="547" w:type="pct"/>
            <w:tcMar>
              <w:top w:w="0" w:type="dxa"/>
              <w:left w:w="108" w:type="dxa"/>
              <w:bottom w:w="0" w:type="dxa"/>
              <w:right w:w="108" w:type="dxa"/>
            </w:tcMar>
          </w:tcPr>
          <w:p w14:paraId="3134C470"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sidRPr="00C96F27">
              <w:rPr>
                <w:rFonts w:ascii="Arial" w:hAnsi="Arial" w:cs="Arial"/>
                <w:sz w:val="20"/>
                <w:szCs w:val="20"/>
                <w:lang w:eastAsia="cs-CZ"/>
              </w:rPr>
              <w:t>O</w:t>
            </w:r>
          </w:p>
        </w:tc>
        <w:tc>
          <w:tcPr>
            <w:tcW w:w="1015" w:type="pct"/>
          </w:tcPr>
          <w:p w14:paraId="5060C18C" w14:textId="24CC9A45" w:rsidR="00E73D56" w:rsidRPr="00C96F27" w:rsidRDefault="003A53AB"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sběr a výkup</w:t>
            </w:r>
          </w:p>
        </w:tc>
      </w:tr>
      <w:tr w:rsidR="00E73D56" w:rsidRPr="00C96F27" w14:paraId="1D06802F" w14:textId="77777777" w:rsidTr="00386D8D">
        <w:tc>
          <w:tcPr>
            <w:tcW w:w="822" w:type="pct"/>
            <w:gridSpan w:val="2"/>
            <w:tcMar>
              <w:top w:w="0" w:type="dxa"/>
              <w:left w:w="108" w:type="dxa"/>
              <w:bottom w:w="0" w:type="dxa"/>
              <w:right w:w="108" w:type="dxa"/>
            </w:tcMar>
          </w:tcPr>
          <w:p w14:paraId="04F3D67D"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line="240" w:lineRule="auto"/>
              <w:jc w:val="center"/>
              <w:rPr>
                <w:rFonts w:ascii="Arial" w:hAnsi="Arial" w:cs="Arial"/>
                <w:sz w:val="20"/>
                <w:szCs w:val="20"/>
                <w:lang w:eastAsia="cs-CZ"/>
              </w:rPr>
            </w:pPr>
            <w:r>
              <w:rPr>
                <w:rFonts w:ascii="Arial" w:hAnsi="Arial" w:cs="Arial"/>
                <w:sz w:val="20"/>
                <w:szCs w:val="20"/>
                <w:lang w:eastAsia="cs-CZ"/>
              </w:rPr>
              <w:t xml:space="preserve">Vysvětlivky: </w:t>
            </w:r>
          </w:p>
        </w:tc>
        <w:tc>
          <w:tcPr>
            <w:tcW w:w="440" w:type="pct"/>
          </w:tcPr>
          <w:p w14:paraId="19782B77" w14:textId="77777777" w:rsidR="00E73D56"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tc>
        <w:tc>
          <w:tcPr>
            <w:tcW w:w="2723" w:type="pct"/>
            <w:gridSpan w:val="4"/>
            <w:vAlign w:val="bottom"/>
          </w:tcPr>
          <w:p w14:paraId="32283498" w14:textId="77777777" w:rsidR="00E73D56" w:rsidRPr="00C96F27"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O – obyčejný odpad</w:t>
            </w:r>
          </w:p>
        </w:tc>
        <w:tc>
          <w:tcPr>
            <w:tcW w:w="1015" w:type="pct"/>
          </w:tcPr>
          <w:p w14:paraId="4B76862E" w14:textId="77777777" w:rsidR="00E73D56"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tc>
      </w:tr>
      <w:tr w:rsidR="00E73D56" w:rsidRPr="00C96F27" w14:paraId="218A38C5" w14:textId="77777777" w:rsidTr="00386D8D">
        <w:tc>
          <w:tcPr>
            <w:tcW w:w="822" w:type="pct"/>
            <w:gridSpan w:val="2"/>
            <w:tcMar>
              <w:top w:w="0" w:type="dxa"/>
              <w:left w:w="108" w:type="dxa"/>
              <w:bottom w:w="0" w:type="dxa"/>
              <w:right w:w="108" w:type="dxa"/>
            </w:tcMar>
          </w:tcPr>
          <w:p w14:paraId="1D704D03" w14:textId="77777777" w:rsidR="00E73D56"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p>
        </w:tc>
        <w:tc>
          <w:tcPr>
            <w:tcW w:w="440" w:type="pct"/>
          </w:tcPr>
          <w:p w14:paraId="78473FEE" w14:textId="77777777" w:rsidR="00E73D56"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tc>
        <w:tc>
          <w:tcPr>
            <w:tcW w:w="2723" w:type="pct"/>
            <w:gridSpan w:val="4"/>
            <w:vAlign w:val="center"/>
          </w:tcPr>
          <w:p w14:paraId="606C977A" w14:textId="77777777" w:rsidR="00E73D56"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N – nebezpečný odpad</w:t>
            </w:r>
          </w:p>
        </w:tc>
        <w:tc>
          <w:tcPr>
            <w:tcW w:w="1015" w:type="pct"/>
          </w:tcPr>
          <w:p w14:paraId="40FC13A3" w14:textId="77777777" w:rsidR="00E73D56" w:rsidRDefault="00E73D56" w:rsidP="00386D8D">
            <w:pPr>
              <w:pStyle w:val="Standard"/>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tc>
      </w:tr>
    </w:tbl>
    <w:p w14:paraId="2A54824E" w14:textId="1912B522" w:rsidR="00535889" w:rsidRDefault="0000370D" w:rsidP="0000370D">
      <w:pPr>
        <w:pStyle w:val="Nadpis2"/>
      </w:pPr>
      <w:bookmarkStart w:id="5" w:name="_Toc50628157"/>
      <w:r>
        <w:t>bezpečnost a ochrana zdraví při práci</w:t>
      </w:r>
      <w:bookmarkEnd w:id="5"/>
    </w:p>
    <w:p w14:paraId="1EE6174D" w14:textId="5FE138C3" w:rsidR="00445972" w:rsidRDefault="00E73D56" w:rsidP="00445972">
      <w:pPr>
        <w:spacing w:after="0"/>
      </w:pPr>
      <w:r>
        <w:t>Během prací při odstraňování stavby budou dodržovány základní legislativní předpisy upravující bezpečnost a ochranu zdraví při práci</w:t>
      </w:r>
      <w:r w:rsidR="00445972">
        <w:t>, zejména:</w:t>
      </w:r>
    </w:p>
    <w:p w14:paraId="50CB22A4" w14:textId="77777777" w:rsidR="00445972" w:rsidRDefault="00445972" w:rsidP="00445972">
      <w:pPr>
        <w:pStyle w:val="Odstavecseseznamem"/>
        <w:numPr>
          <w:ilvl w:val="0"/>
          <w:numId w:val="46"/>
        </w:numPr>
      </w:pPr>
      <w:r>
        <w:t>zákon č. 262/2006 Sb., zákoník práce, v platném znění</w:t>
      </w:r>
    </w:p>
    <w:p w14:paraId="1BFCCD6A" w14:textId="77777777" w:rsidR="00445972" w:rsidRDefault="00445972" w:rsidP="00445972">
      <w:pPr>
        <w:pStyle w:val="Odstavecseseznamem"/>
        <w:numPr>
          <w:ilvl w:val="0"/>
          <w:numId w:val="46"/>
        </w:numPr>
      </w:pPr>
      <w:r>
        <w:t>zákon č. 309/2006 Sb., o zajištění dalších podmínek bezpečnosti a ochrany zdraví při práci, v platném znění</w:t>
      </w:r>
    </w:p>
    <w:p w14:paraId="4C611B32" w14:textId="77777777" w:rsidR="00445972" w:rsidRDefault="00445972" w:rsidP="00445972">
      <w:pPr>
        <w:pStyle w:val="Odstavecseseznamem"/>
        <w:numPr>
          <w:ilvl w:val="0"/>
          <w:numId w:val="46"/>
        </w:numPr>
      </w:pPr>
      <w:r>
        <w:t>zákon č. 258/2000 Sb., o ochraně veřejného zdraví, v platném znění</w:t>
      </w:r>
    </w:p>
    <w:p w14:paraId="445D3623" w14:textId="77777777" w:rsidR="00445972" w:rsidRDefault="00445972" w:rsidP="00445972">
      <w:pPr>
        <w:pStyle w:val="Odstavecseseznamem"/>
        <w:numPr>
          <w:ilvl w:val="0"/>
          <w:numId w:val="46"/>
        </w:numPr>
      </w:pPr>
      <w:r>
        <w:t>zákon č. 183/2006 Sb., stavební zákon, v platném znění</w:t>
      </w:r>
    </w:p>
    <w:p w14:paraId="46F2C8E9" w14:textId="77777777" w:rsidR="00445972" w:rsidRDefault="00445972" w:rsidP="00445972">
      <w:pPr>
        <w:pStyle w:val="Odstavecseseznamem"/>
        <w:numPr>
          <w:ilvl w:val="0"/>
          <w:numId w:val="46"/>
        </w:numPr>
      </w:pPr>
      <w:r>
        <w:t>zákon č. 22/1997 Sb., o technických požadavcích na výrobky, v platném znění</w:t>
      </w:r>
    </w:p>
    <w:p w14:paraId="6B127792" w14:textId="77777777" w:rsidR="00445972" w:rsidRDefault="00445972" w:rsidP="00445972">
      <w:pPr>
        <w:pStyle w:val="Odstavecseseznamem"/>
        <w:numPr>
          <w:ilvl w:val="0"/>
          <w:numId w:val="46"/>
        </w:numPr>
      </w:pPr>
      <w:r>
        <w:t>zákon č. 133/1985 Sb., o požární ochraně, v platném znění</w:t>
      </w:r>
    </w:p>
    <w:p w14:paraId="3E820F94" w14:textId="77777777" w:rsidR="00445972" w:rsidRDefault="00445972" w:rsidP="00445972">
      <w:pPr>
        <w:pStyle w:val="Odstavecseseznamem"/>
        <w:numPr>
          <w:ilvl w:val="0"/>
          <w:numId w:val="46"/>
        </w:numPr>
      </w:pPr>
      <w:r>
        <w:t>zákon č. 174/1968 Sb., o státním odborném dozoru nad bezpečností práce, v platném znění</w:t>
      </w:r>
    </w:p>
    <w:p w14:paraId="1E9C7E34" w14:textId="77777777" w:rsidR="00445972" w:rsidRDefault="00445972" w:rsidP="00445972">
      <w:pPr>
        <w:pStyle w:val="Odstavecseseznamem"/>
        <w:numPr>
          <w:ilvl w:val="0"/>
          <w:numId w:val="46"/>
        </w:numPr>
      </w:pPr>
      <w:r>
        <w:t>nařízení vlády č. 362/2005 Sb., o bližších požadavcích na bezpečnost a ochranu zdraví při práci na pracovišti s nebezpečím pádu z výšky nebo do hloubky</w:t>
      </w:r>
    </w:p>
    <w:p w14:paraId="74A257C5" w14:textId="77777777" w:rsidR="00445972" w:rsidRDefault="00445972" w:rsidP="00445972">
      <w:pPr>
        <w:pStyle w:val="Odstavecseseznamem"/>
        <w:numPr>
          <w:ilvl w:val="0"/>
          <w:numId w:val="46"/>
        </w:numPr>
      </w:pPr>
      <w:r>
        <w:t>nařízení vlády č. 101/2005 Sb., o podrobnějších požadavcích na pracoviště a pracovní prostředí</w:t>
      </w:r>
    </w:p>
    <w:p w14:paraId="130E1A54" w14:textId="77777777" w:rsidR="00445972" w:rsidRDefault="00445972" w:rsidP="00445972">
      <w:pPr>
        <w:pStyle w:val="Odstavecseseznamem"/>
        <w:numPr>
          <w:ilvl w:val="0"/>
          <w:numId w:val="46"/>
        </w:numPr>
      </w:pPr>
      <w:r>
        <w:t>nařízení vlády č. 591/2006 Sb., o bližších minimálních požadavcích na bezpečnost a ochranu zdraví při práci na staveništích</w:t>
      </w:r>
    </w:p>
    <w:p w14:paraId="1F14C270" w14:textId="77777777" w:rsidR="00445972" w:rsidRDefault="00445972" w:rsidP="00445972">
      <w:pPr>
        <w:pStyle w:val="Odstavecseseznamem"/>
        <w:numPr>
          <w:ilvl w:val="0"/>
          <w:numId w:val="46"/>
        </w:numPr>
      </w:pPr>
      <w:r>
        <w:t>nařízení vlády č. 378/2001 Sb., kterým se stanoví bližší požadavky na bezpečný provoz a používání strojů, technických zařízení, přístrojů a nářadí</w:t>
      </w:r>
    </w:p>
    <w:p w14:paraId="7A7405D2" w14:textId="77777777" w:rsidR="00445972" w:rsidRDefault="00445972" w:rsidP="00445972">
      <w:pPr>
        <w:pStyle w:val="Odstavecseseznamem"/>
        <w:numPr>
          <w:ilvl w:val="0"/>
          <w:numId w:val="46"/>
        </w:numPr>
      </w:pPr>
      <w:r>
        <w:t>nařízení vlády č. 406/2004 Sb., o bližších požadavcích na zajištění bezpečnosti a ochrany zdraví při práci v prostředí s nebezpečím výbuchu</w:t>
      </w:r>
    </w:p>
    <w:p w14:paraId="50103FE6" w14:textId="77777777" w:rsidR="00445972" w:rsidRDefault="00445972" w:rsidP="00445972">
      <w:pPr>
        <w:pStyle w:val="Odstavecseseznamem"/>
        <w:numPr>
          <w:ilvl w:val="0"/>
          <w:numId w:val="46"/>
        </w:numPr>
      </w:pPr>
      <w:r>
        <w:t>nařízení vlády č. 168/2002 Sb., kterým se stanoví způsob organizace práce a pracovních postupů, které je zaměstnavatel povinen zajistit při provozování dopravy dopravními prostředky</w:t>
      </w:r>
    </w:p>
    <w:p w14:paraId="1A704914" w14:textId="77777777" w:rsidR="00445972" w:rsidRDefault="00445972" w:rsidP="00445972">
      <w:pPr>
        <w:pStyle w:val="Odstavecseseznamem"/>
        <w:numPr>
          <w:ilvl w:val="0"/>
          <w:numId w:val="46"/>
        </w:numPr>
      </w:pPr>
      <w:r>
        <w:t>nařízení vlády č. 361/2007 Sb., kterým se stanoví podmínky ochrany zdraví při práci, v platném znění</w:t>
      </w:r>
    </w:p>
    <w:p w14:paraId="60B034AB" w14:textId="77777777" w:rsidR="00445972" w:rsidRDefault="00445972" w:rsidP="00445972">
      <w:pPr>
        <w:pStyle w:val="Odstavecseseznamem"/>
        <w:numPr>
          <w:ilvl w:val="0"/>
          <w:numId w:val="46"/>
        </w:numPr>
      </w:pPr>
      <w:r>
        <w:t>nařízení vlády č. 495/2001 Sb., kterým se stanoví rozsah a bližší podmínky poskytování osobních ochranných pracovních prostředků, mycích, čisticích a dezinfekčních prostředků</w:t>
      </w:r>
    </w:p>
    <w:p w14:paraId="62E16AFF" w14:textId="77777777" w:rsidR="00445972" w:rsidRDefault="00445972" w:rsidP="00445972">
      <w:pPr>
        <w:pStyle w:val="Odstavecseseznamem"/>
        <w:numPr>
          <w:ilvl w:val="0"/>
          <w:numId w:val="46"/>
        </w:numPr>
      </w:pPr>
      <w:r>
        <w:lastRenderedPageBreak/>
        <w:t>nařízení vlády č. 201/2010 Sb., kterým se stanoví způsob evidence, hlášení a zasílání záznamu o úrazu, vzor záznamu o úrazu a okruh orgánů a institucí, kterým se ohlašuje pracovní úraz a zasílá záznam o úrazu</w:t>
      </w:r>
    </w:p>
    <w:p w14:paraId="7CD2A188" w14:textId="77777777" w:rsidR="00445972" w:rsidRDefault="00445972" w:rsidP="00445972">
      <w:pPr>
        <w:pStyle w:val="Odstavecseseznamem"/>
        <w:numPr>
          <w:ilvl w:val="0"/>
          <w:numId w:val="46"/>
        </w:numPr>
      </w:pPr>
      <w:r>
        <w:t>nařízení vlády č. 272/2011 Sb., o ochraně zdraví před nepříznivými účinky hluku a vibrací</w:t>
      </w:r>
    </w:p>
    <w:p w14:paraId="378BEA00" w14:textId="77777777" w:rsidR="00445972" w:rsidRDefault="00445972" w:rsidP="00445972">
      <w:pPr>
        <w:pStyle w:val="Odstavecseseznamem"/>
        <w:numPr>
          <w:ilvl w:val="0"/>
          <w:numId w:val="46"/>
        </w:numPr>
      </w:pPr>
      <w:r>
        <w:t xml:space="preserve">nařízení vlády č. 176/2008 </w:t>
      </w:r>
      <w:proofErr w:type="spellStart"/>
      <w:proofErr w:type="gramStart"/>
      <w:r>
        <w:t>Sb.,o</w:t>
      </w:r>
      <w:proofErr w:type="spellEnd"/>
      <w:proofErr w:type="gramEnd"/>
      <w:r>
        <w:t xml:space="preserve"> technických požadavcích na strojní zařízení</w:t>
      </w:r>
    </w:p>
    <w:p w14:paraId="0D9CC4C4" w14:textId="77777777" w:rsidR="00445972" w:rsidRDefault="00445972" w:rsidP="00445972">
      <w:pPr>
        <w:pStyle w:val="Odstavecseseznamem"/>
        <w:numPr>
          <w:ilvl w:val="0"/>
          <w:numId w:val="46"/>
        </w:numPr>
      </w:pPr>
      <w:r>
        <w:t>vyhláška č. 499/2006 Sb., o dokumentaci staveb v platném znění</w:t>
      </w:r>
    </w:p>
    <w:p w14:paraId="5235409C" w14:textId="77777777" w:rsidR="00445972" w:rsidRDefault="00445972" w:rsidP="00445972">
      <w:pPr>
        <w:pStyle w:val="Odstavecseseznamem"/>
        <w:numPr>
          <w:ilvl w:val="0"/>
          <w:numId w:val="46"/>
        </w:numPr>
      </w:pPr>
      <w:r>
        <w:t>vyhláška č. 268/2009 Sb., o technických požadavcích na stavby</w:t>
      </w:r>
    </w:p>
    <w:p w14:paraId="5FFC7D5B" w14:textId="77777777" w:rsidR="00445972" w:rsidRDefault="00445972" w:rsidP="00445972">
      <w:pPr>
        <w:pStyle w:val="Odstavecseseznamem"/>
        <w:numPr>
          <w:ilvl w:val="0"/>
          <w:numId w:val="46"/>
        </w:numPr>
      </w:pPr>
      <w:r>
        <w:t>vyhláška č. 48/1982 Sb., kterou se stanoví základní požadavky k zajištění bezpečnosti práce a technických zařízení, v platném znění</w:t>
      </w:r>
    </w:p>
    <w:p w14:paraId="74620058" w14:textId="77777777" w:rsidR="00445972" w:rsidRDefault="00445972" w:rsidP="00445972">
      <w:pPr>
        <w:pStyle w:val="Odstavecseseznamem"/>
        <w:numPr>
          <w:ilvl w:val="0"/>
          <w:numId w:val="46"/>
        </w:numPr>
      </w:pPr>
      <w:r>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6EB42C92" w14:textId="77777777" w:rsidR="00445972" w:rsidRDefault="00445972" w:rsidP="00445972">
      <w:pPr>
        <w:pStyle w:val="Odstavecseseznamem"/>
        <w:numPr>
          <w:ilvl w:val="0"/>
          <w:numId w:val="46"/>
        </w:numPr>
      </w:pPr>
      <w:r>
        <w:t>vyhláška č. 18/1979 Sb., kterou se určují vyhrazená tlaková zařízení a stanoví některé podmínky k zajištění jejich bezpečnosti, v platném znění</w:t>
      </w:r>
    </w:p>
    <w:p w14:paraId="111EDFF1" w14:textId="77777777" w:rsidR="00445972" w:rsidRDefault="00445972" w:rsidP="00445972">
      <w:pPr>
        <w:pStyle w:val="Odstavecseseznamem"/>
        <w:numPr>
          <w:ilvl w:val="0"/>
          <w:numId w:val="46"/>
        </w:numPr>
      </w:pPr>
      <w:r>
        <w:t>vyhláška č. 19/1979 Sb., kterou se určují vyhrazená zdvihací zařízení a stanoví některé podmínky k zajištění jejich bezpečnosti, v platném znění</w:t>
      </w:r>
    </w:p>
    <w:p w14:paraId="6881E09D" w14:textId="77777777" w:rsidR="00445972" w:rsidRDefault="00445972" w:rsidP="00445972">
      <w:pPr>
        <w:pStyle w:val="Odstavecseseznamem"/>
        <w:numPr>
          <w:ilvl w:val="0"/>
          <w:numId w:val="46"/>
        </w:numPr>
      </w:pPr>
      <w:r>
        <w:t>vyhláška č. 73/2010 Sb., kterou se určují vyhrazená elektrická zařízení a stanoví některé podmínky k zajištění jejich bezpečnosti, v platném znění</w:t>
      </w:r>
    </w:p>
    <w:p w14:paraId="5992CC7D" w14:textId="77777777" w:rsidR="00445972" w:rsidRDefault="00445972" w:rsidP="00445972">
      <w:pPr>
        <w:pStyle w:val="Odstavecseseznamem"/>
        <w:numPr>
          <w:ilvl w:val="0"/>
          <w:numId w:val="46"/>
        </w:numPr>
      </w:pPr>
      <w:r>
        <w:t>vyhláška č. 50/1978 Sb., o odborné způsobilosti v elektrotechnice, v platném znění</w:t>
      </w:r>
    </w:p>
    <w:p w14:paraId="6FBBAF00" w14:textId="77777777" w:rsidR="00445972" w:rsidRDefault="00445972" w:rsidP="00445972">
      <w:pPr>
        <w:pStyle w:val="Odstavecseseznamem"/>
        <w:numPr>
          <w:ilvl w:val="0"/>
          <w:numId w:val="46"/>
        </w:numPr>
      </w:pPr>
      <w:r>
        <w:t>vyhláška č. 77/1965 Sb., o kvalifikaci obsluh stavebních strojů, v platném znění</w:t>
      </w:r>
    </w:p>
    <w:p w14:paraId="348E8F68" w14:textId="77777777" w:rsidR="00445972" w:rsidRDefault="00445972" w:rsidP="00445972">
      <w:pPr>
        <w:pStyle w:val="Odstavecseseznamem"/>
        <w:numPr>
          <w:ilvl w:val="0"/>
          <w:numId w:val="46"/>
        </w:numPr>
      </w:pPr>
      <w:r>
        <w:t>ČSN 743305 Ochranná zábradlí. Základní ustanovení</w:t>
      </w:r>
    </w:p>
    <w:p w14:paraId="5C204BC4" w14:textId="77777777" w:rsidR="00445972" w:rsidRDefault="00445972" w:rsidP="00445972">
      <w:pPr>
        <w:pStyle w:val="Odstavecseseznamem"/>
        <w:numPr>
          <w:ilvl w:val="0"/>
          <w:numId w:val="46"/>
        </w:numPr>
      </w:pPr>
      <w:r>
        <w:t xml:space="preserve">ČSN 269030 Manipulační </w:t>
      </w:r>
      <w:proofErr w:type="gramStart"/>
      <w:r>
        <w:t>jednotky - Zásady</w:t>
      </w:r>
      <w:proofErr w:type="gramEnd"/>
      <w:r>
        <w:t xml:space="preserve"> pro tvorbu, bezpečnou manipulaci a skladování</w:t>
      </w:r>
    </w:p>
    <w:p w14:paraId="2250A602" w14:textId="32B907AD" w:rsidR="005E6508" w:rsidRDefault="00445972" w:rsidP="005E6508">
      <w:r>
        <w:t xml:space="preserve">Příloha č. 3 nařízení vlády </w:t>
      </w:r>
      <w:r w:rsidR="005E6508">
        <w:t>č.</w:t>
      </w:r>
      <w:r w:rsidR="005E6508" w:rsidRPr="005E6508">
        <w:t xml:space="preserve"> </w:t>
      </w:r>
      <w:r w:rsidR="005E6508">
        <w:t xml:space="preserve">591/2006 Sb., o bližších minimálních požadavcích na bezpečnost a ochranu zdraví při práci na staveništích stanoví následující požadavky pro bezpečnost při </w:t>
      </w:r>
      <w:r w:rsidR="005E6508" w:rsidRPr="005E6508">
        <w:rPr>
          <w:i/>
          <w:iCs/>
        </w:rPr>
        <w:t>bouracích pracích:</w:t>
      </w:r>
    </w:p>
    <w:p w14:paraId="68ECDA45" w14:textId="62A52FA2" w:rsidR="005E6508" w:rsidRDefault="005E6508" w:rsidP="005E6508">
      <w:pPr>
        <w:pStyle w:val="Odstavecseseznamem"/>
        <w:numPr>
          <w:ilvl w:val="0"/>
          <w:numId w:val="55"/>
        </w:numPr>
        <w:ind w:left="426" w:hanging="426"/>
      </w:pPr>
      <w:r>
        <w:t>Bourací práce, při nichž jsou dotčeny nosné prvky stavební konstrukce, se smí provádět pouze podle technologického postupu stanoveného v dokumentaci bouracích prací. Při bouracích pracích, pro něž se dokumentace bouracích prací podle zvláštního právního předpisu nezpracovává, zajistí zhotovitel zpracování technologického postupu na základě provedeného průzkumu stávajícího stavu bourané stavby, jejího statického posouzení a zjištění vedení, popřípadě staveb a zařízení technického vybavení a stavu dotčených sousedních staveb. K průzkumu se využijí stávající dostupné dokumentace o stavbě samé a o stavbách sousedních, vyjádření vlastníků, popřípadě správců technické infrastruktury a vlastní ohledání staveniště. Na základě statického posouzení se zajišťuje, aby v průběhu prací nedošlo k nekontrolovanému porušení stability stavby nebo její části. O provedeném průzkumu vyhotoví zhotovitel zápis.</w:t>
      </w:r>
    </w:p>
    <w:p w14:paraId="617E8871" w14:textId="77616712" w:rsidR="005E6508" w:rsidRDefault="005E6508" w:rsidP="005E6508">
      <w:pPr>
        <w:pStyle w:val="Odstavecseseznamem"/>
        <w:numPr>
          <w:ilvl w:val="0"/>
          <w:numId w:val="55"/>
        </w:numPr>
        <w:ind w:left="426" w:hanging="426"/>
      </w:pPr>
      <w:r>
        <w:t>Průzkumem zjištěné podzemní prostory, například dutiny, studně nebo jiné podzemní objekty, musí být před zahájením bouracích prací zasypány nebo jiným způsobem zajištěny.</w:t>
      </w:r>
    </w:p>
    <w:p w14:paraId="4E454F29" w14:textId="28F2F2C7" w:rsidR="005E6508" w:rsidRDefault="005E6508" w:rsidP="005E6508">
      <w:pPr>
        <w:pStyle w:val="Odstavecseseznamem"/>
        <w:numPr>
          <w:ilvl w:val="0"/>
          <w:numId w:val="55"/>
        </w:numPr>
        <w:ind w:left="426" w:hanging="426"/>
      </w:pPr>
      <w:r>
        <w:t>Bourání staveb vyšších než přízemních, strhávání nebo bourání svislých konstrukcí od výšky 3 m, bourání schodišť a vysunutých částí, rekonstrukce a bourání, při kterých dochází ke změně konstrukční bezpečnosti stavby, strojní bourání, bourání specifickými metodami, jako je řezání kyslíkem, a bourací práce podle bodu 26., smějí být prováděny pouze fyzickými osobami k tomu určenými zhotovitelem, pokud je zajištěn stálý dozor vykonávaný fyzickou osobou k tomu zhotovitelem pověřenou; fyzická osoba pověřená stálým dozorem po celou dobu výkonu stálého dozoru sleduje určené pracoviště, provádění prací a pohyb fyzických osob na něm, z tohoto pracoviště se nevzdaluje a nevykonává jinou činnost než dozor.</w:t>
      </w:r>
    </w:p>
    <w:p w14:paraId="53FAB840" w14:textId="33114096" w:rsidR="005E6508" w:rsidRDefault="005E6508" w:rsidP="005E6508">
      <w:pPr>
        <w:pStyle w:val="Odstavecseseznamem"/>
        <w:numPr>
          <w:ilvl w:val="0"/>
          <w:numId w:val="55"/>
        </w:numPr>
        <w:ind w:left="426" w:hanging="426"/>
      </w:pPr>
      <w:r>
        <w:t>Stálý dozor podle předchozího boduje dále nutno zajistit, jestliže bourací práce probíhají na dvou nebo více místech v rámci jedné bourané stavby současně.</w:t>
      </w:r>
    </w:p>
    <w:p w14:paraId="547B5FB7" w14:textId="255444A4" w:rsidR="005E6508" w:rsidRDefault="005E6508" w:rsidP="005E6508">
      <w:pPr>
        <w:pStyle w:val="Odstavecseseznamem"/>
        <w:numPr>
          <w:ilvl w:val="0"/>
          <w:numId w:val="55"/>
        </w:numPr>
        <w:ind w:left="426" w:hanging="426"/>
      </w:pPr>
      <w:r>
        <w:t>Jsou-li v průběhu bouracích prací zjištěny skutečnosti, které nebyly průzkumem podle bodu 1 odhaleny, zajistí zhotovitel bez zbytečného odkladu přizpůsobení technologického postupu těmto skutečnostem tak, aby vždy byla zajištěna bezpečnost prováděných prací.</w:t>
      </w:r>
    </w:p>
    <w:p w14:paraId="1C13E1F9" w14:textId="7A83F3FC" w:rsidR="005E6508" w:rsidRDefault="005E6508" w:rsidP="005E6508">
      <w:pPr>
        <w:pStyle w:val="Odstavecseseznamem"/>
        <w:numPr>
          <w:ilvl w:val="0"/>
          <w:numId w:val="55"/>
        </w:numPr>
        <w:ind w:left="426" w:hanging="426"/>
      </w:pPr>
      <w:r>
        <w:t>Před zahájením bouracích prací je nutno vymezit ohrožený prostor a zajistit jej proti vstupu nepovolaných fyzických osob, dále je nutno bezpečně zajistit vstupy do bourané stavby jakož i na jednotlivá pracoviště a přijmout nezbytná opatření k ochraně veřejného zájmu, jenž by mohl být těmito pracemi ohrožen.</w:t>
      </w:r>
    </w:p>
    <w:p w14:paraId="41D0D5EA" w14:textId="607BE7FD" w:rsidR="005E6508" w:rsidRDefault="005E6508" w:rsidP="005E6508">
      <w:pPr>
        <w:pStyle w:val="Odstavecseseznamem"/>
        <w:numPr>
          <w:ilvl w:val="0"/>
          <w:numId w:val="55"/>
        </w:numPr>
        <w:ind w:left="426" w:hanging="426"/>
      </w:pPr>
      <w:r>
        <w:lastRenderedPageBreak/>
        <w:t>Ohrožený prostor musí být v zastavěném území vymezen oplocením o výšce nejméně 1,8 m, pokud tomu použitá technologie bourání nebrání. Není-li možno prostor oplotit, musí být zajištěn jiným vhodným způsobem, například střežením nebo vyloučením provozu.</w:t>
      </w:r>
    </w:p>
    <w:p w14:paraId="03AB3E4A" w14:textId="47C37CE3" w:rsidR="005E6508" w:rsidRDefault="005E6508" w:rsidP="005E6508">
      <w:pPr>
        <w:pStyle w:val="Odstavecseseznamem"/>
        <w:numPr>
          <w:ilvl w:val="0"/>
          <w:numId w:val="55"/>
        </w:numPr>
        <w:ind w:left="426" w:hanging="426"/>
      </w:pPr>
      <w:r>
        <w:t>Vnitřní rozvody a instalace zabudované v bourané stavbě musí být před zahájením prací odpojeny a zajištěny proti použití. Podle okolností se proti poškození zajistí i vedení technického vybavení, do nichž je stavba prostřednictvím přípojek napojena. Pokud u rekonstruované stavby nelze z provozních důvodů vnitřní rozvody a instalace odpojit, stanoví zhotovitel opatření k zajištění jejího bezpečného provozu během provádění bouracích prací.</w:t>
      </w:r>
    </w:p>
    <w:p w14:paraId="5B814CE9" w14:textId="409D8D52" w:rsidR="005E6508" w:rsidRDefault="005E6508" w:rsidP="005E6508">
      <w:pPr>
        <w:pStyle w:val="Odstavecseseznamem"/>
        <w:numPr>
          <w:ilvl w:val="0"/>
          <w:numId w:val="55"/>
        </w:numPr>
        <w:ind w:left="426" w:hanging="426"/>
      </w:pPr>
      <w:r>
        <w:t>K zajištění dodávky elektrické energie pro provádění bouracích prací je nutno zřídit dočasné elektrické zařízení splňující normové požadavky. Toto zařízení, stejně jako dočasný přívod vody pro kropení k omezení prašnosti, je nutno v průběhu bouracích prací zabezpečit proti poškození.</w:t>
      </w:r>
    </w:p>
    <w:p w14:paraId="0A70710C" w14:textId="2549E986" w:rsidR="005E6508" w:rsidRDefault="005E6508" w:rsidP="005E6508">
      <w:pPr>
        <w:pStyle w:val="Odstavecseseznamem"/>
        <w:numPr>
          <w:ilvl w:val="0"/>
          <w:numId w:val="55"/>
        </w:numPr>
        <w:ind w:left="426" w:hanging="426"/>
      </w:pPr>
      <w:r>
        <w:t>Bourací práce nesmí být zahájeny, pokud k tomu nebyl osobou určenou zhotovitelem vydán písemný příkaz a pokud nebylo pracoviště vybaveno pomocnými konstrukcemi, materiálem a pomůckami stanovenými v technologickém postupu.</w:t>
      </w:r>
    </w:p>
    <w:p w14:paraId="16AD8A24" w14:textId="40A2DE44" w:rsidR="005E6508" w:rsidRDefault="005E6508" w:rsidP="005E6508">
      <w:pPr>
        <w:pStyle w:val="Odstavecseseznamem"/>
        <w:numPr>
          <w:ilvl w:val="0"/>
          <w:numId w:val="55"/>
        </w:numPr>
        <w:ind w:left="426" w:hanging="426"/>
      </w:pPr>
      <w:r>
        <w:t>Před zahájením bouracích prací je nutno stanovit signál, kterým v naléhavém případě bezprostředního ohrožení dá osoba určená zhotovitelem k řízení bouracích prací pokyn k neprodlenému opuštění pracoviště. Zhotovitel zajistí, aby všechny fyzické osoby zdržující se na tomto pracovišti byly s tímto signálem prokazatelně seznámeny.</w:t>
      </w:r>
    </w:p>
    <w:p w14:paraId="1A994413" w14:textId="5210A128" w:rsidR="005E6508" w:rsidRDefault="005E6508" w:rsidP="005E6508">
      <w:pPr>
        <w:pStyle w:val="Odstavecseseznamem"/>
        <w:numPr>
          <w:ilvl w:val="0"/>
          <w:numId w:val="55"/>
        </w:numPr>
        <w:ind w:left="426" w:hanging="426"/>
      </w:pPr>
      <w:r>
        <w:t xml:space="preserve">Zhotovitel zajistí, aby při provádění bouracích prací bylo provedeno statické zajištění sousedních staveb způsobem stanoveným v dokumentaci bouracích </w:t>
      </w:r>
      <w:proofErr w:type="gramStart"/>
      <w:r>
        <w:t>prací</w:t>
      </w:r>
      <w:proofErr w:type="gramEnd"/>
      <w:r>
        <w:t xml:space="preserve"> popřípadě v technologickém postupu tak, aby nebyla ohrožena jejich stabilita.</w:t>
      </w:r>
    </w:p>
    <w:p w14:paraId="04D53AD6" w14:textId="32088F07" w:rsidR="005E6508" w:rsidRDefault="005E6508" w:rsidP="005E6508">
      <w:pPr>
        <w:pStyle w:val="Odstavecseseznamem"/>
        <w:numPr>
          <w:ilvl w:val="0"/>
          <w:numId w:val="55"/>
        </w:numPr>
        <w:ind w:left="426" w:hanging="426"/>
      </w:pPr>
      <w:r>
        <w:t>Dočasné stavební konstrukce zřízené uvnitř bourané stavby nebo na jejích vnějších stranách nesmějí být zatěžovány vybouraným materiálem ani nesmí být přes ně strháván materiál z bourané stavby, pokud nejsou k tomu účelu navrženy.</w:t>
      </w:r>
    </w:p>
    <w:p w14:paraId="033EE47C" w14:textId="7490CC1D" w:rsidR="005E6508" w:rsidRDefault="005E6508" w:rsidP="005E6508">
      <w:pPr>
        <w:pStyle w:val="Odstavecseseznamem"/>
        <w:numPr>
          <w:ilvl w:val="0"/>
          <w:numId w:val="55"/>
        </w:numPr>
        <w:ind w:left="426" w:hanging="426"/>
      </w:pPr>
      <w:r>
        <w:t>Materiál z bourané části stavby je nutno průběžně odstraňovat, aby nedošlo k přetížení podlah nebo stropních konstrukcí následkem jeho nahromadění.</w:t>
      </w:r>
    </w:p>
    <w:p w14:paraId="1ED01A21" w14:textId="54E02AC6" w:rsidR="005E6508" w:rsidRDefault="005E6508" w:rsidP="005E6508">
      <w:pPr>
        <w:pStyle w:val="Odstavecseseznamem"/>
        <w:numPr>
          <w:ilvl w:val="0"/>
          <w:numId w:val="55"/>
        </w:numPr>
        <w:ind w:left="426" w:hanging="426"/>
      </w:pPr>
      <w:r>
        <w:t>Bourací práce nesmí být přerušeny, pokud není zajištěna stabilita těch částí bourané konstrukce, které nebyly dosud strženy. Tento požadavek platí i v případě neplánovaného přerušení bouracích prací například z důvodu náhlého zhoršení povětrnostní situace.</w:t>
      </w:r>
    </w:p>
    <w:p w14:paraId="3087167E" w14:textId="085BC4E8" w:rsidR="005E6508" w:rsidRDefault="005E6508" w:rsidP="005E6508">
      <w:pPr>
        <w:pStyle w:val="Odstavecseseznamem"/>
        <w:numPr>
          <w:ilvl w:val="0"/>
          <w:numId w:val="55"/>
        </w:numPr>
        <w:ind w:left="426" w:hanging="426"/>
      </w:pPr>
      <w:r>
        <w:t>Jestliže v průběhu bouracích nebo rekonstrukčních prací je část stavby nadále užívána, musí být v technologických postupech stanoveno bezpečnostní zajištění a kontroly pracovišť se zřetelem na zajištění ochrany života a zdraví fyzických osob, které stavbu užívají.</w:t>
      </w:r>
    </w:p>
    <w:p w14:paraId="4976BA96" w14:textId="341C29A2" w:rsidR="005E6508" w:rsidRDefault="005E6508" w:rsidP="005E6508">
      <w:pPr>
        <w:pStyle w:val="Odstavecseseznamem"/>
        <w:numPr>
          <w:ilvl w:val="0"/>
          <w:numId w:val="55"/>
        </w:numPr>
        <w:ind w:left="426" w:hanging="426"/>
      </w:pPr>
      <w:r>
        <w:t>Bourání střešní konstrukce nebo krovů strháváním pomocí lan a tažných strojů smí být prováděny pouze tehdy, jestliže byla učiněna opatření k zajištění stability zbývajících konstrukcí a částí stavby.</w:t>
      </w:r>
    </w:p>
    <w:p w14:paraId="6AE0EC06" w14:textId="31DAF117" w:rsidR="005E6508" w:rsidRDefault="005E6508" w:rsidP="005E6508">
      <w:pPr>
        <w:pStyle w:val="Odstavecseseznamem"/>
        <w:numPr>
          <w:ilvl w:val="0"/>
          <w:numId w:val="55"/>
        </w:numPr>
        <w:ind w:left="426" w:hanging="426"/>
      </w:pPr>
      <w:r>
        <w:t>Není-li zajištěna dostatečná únosnost konstrukcí bourané stavby, provádějí se bourací práce ze samostatné pomocné konstrukce.</w:t>
      </w:r>
    </w:p>
    <w:p w14:paraId="51CB92B9" w14:textId="2505018B" w:rsidR="005E6508" w:rsidRDefault="005E6508" w:rsidP="005E6508">
      <w:pPr>
        <w:pStyle w:val="Odstavecseseznamem"/>
        <w:numPr>
          <w:ilvl w:val="0"/>
          <w:numId w:val="55"/>
        </w:numPr>
        <w:ind w:left="426" w:hanging="426"/>
      </w:pPr>
      <w:r>
        <w:t>Při ručním bourání smějí být konstrukční prvky odstraněny pouze tehdy, nejsou-li zatíženy.</w:t>
      </w:r>
    </w:p>
    <w:p w14:paraId="09C89675" w14:textId="60013F1A" w:rsidR="005E6508" w:rsidRDefault="005E6508" w:rsidP="005E6508">
      <w:pPr>
        <w:pStyle w:val="Odstavecseseznamem"/>
        <w:numPr>
          <w:ilvl w:val="0"/>
          <w:numId w:val="55"/>
        </w:numPr>
        <w:ind w:left="426" w:hanging="426"/>
      </w:pPr>
      <w:r>
        <w:t>Při bourání zdí, které stabilizují vystupující konstrukce, například balkony nebo arkýře, je nutno zajistit tyto konstrukce tak, aby nedošlo k nežádoucí ztrátě jejich stability.</w:t>
      </w:r>
    </w:p>
    <w:p w14:paraId="6F40B269" w14:textId="36F0FDA0" w:rsidR="005E6508" w:rsidRDefault="005E6508" w:rsidP="005E6508">
      <w:pPr>
        <w:pStyle w:val="Odstavecseseznamem"/>
        <w:numPr>
          <w:ilvl w:val="0"/>
          <w:numId w:val="55"/>
        </w:numPr>
        <w:ind w:left="426" w:hanging="426"/>
      </w:pPr>
      <w:r>
        <w:t>Při ručním bourání nosných konstrukcí se musí postupovat zásadně vertikálním směrem shora dolů.</w:t>
      </w:r>
    </w:p>
    <w:p w14:paraId="200950EB" w14:textId="0430A6DD" w:rsidR="005E6508" w:rsidRDefault="005E6508" w:rsidP="005E6508">
      <w:pPr>
        <w:pStyle w:val="Odstavecseseznamem"/>
        <w:numPr>
          <w:ilvl w:val="0"/>
          <w:numId w:val="55"/>
        </w:numPr>
        <w:ind w:left="426" w:hanging="426"/>
      </w:pPr>
      <w:r>
        <w:t>Postupné bourání staveb postavených panelovou technologií se smí provádět až po rozpojení jednotlivých panelů a po předchozím zajištění jejich stability.</w:t>
      </w:r>
    </w:p>
    <w:p w14:paraId="20721B11" w14:textId="58A201BE" w:rsidR="005E6508" w:rsidRDefault="005E6508" w:rsidP="005E6508">
      <w:pPr>
        <w:pStyle w:val="Odstavecseseznamem"/>
        <w:numPr>
          <w:ilvl w:val="0"/>
          <w:numId w:val="55"/>
        </w:numPr>
        <w:ind w:left="426" w:hanging="426"/>
      </w:pPr>
      <w:r>
        <w:t>Ruční bourání stropů s dřevěnou nosnou konstrukcí se smí provádět tehdy, jsou-li zdi nad ní odstraněny, nosné prvky jsou odkryty a ze stropů je odklizen vybouraný materiál.</w:t>
      </w:r>
    </w:p>
    <w:p w14:paraId="548530E5" w14:textId="5AE3D7DB" w:rsidR="005E6508" w:rsidRDefault="005E6508" w:rsidP="005E6508">
      <w:pPr>
        <w:pStyle w:val="Odstavecseseznamem"/>
        <w:numPr>
          <w:ilvl w:val="0"/>
          <w:numId w:val="55"/>
        </w:numPr>
        <w:ind w:left="426" w:hanging="426"/>
      </w:pPr>
      <w:r>
        <w:t>Stropní prvky je nutno před uvázáním na zdvihací zařízení uvolnit od ostatních konstrukcí.</w:t>
      </w:r>
    </w:p>
    <w:p w14:paraId="14B1933E" w14:textId="20F83722" w:rsidR="005E6508" w:rsidRDefault="005E6508" w:rsidP="005E6508">
      <w:pPr>
        <w:pStyle w:val="Odstavecseseznamem"/>
        <w:numPr>
          <w:ilvl w:val="0"/>
          <w:numId w:val="55"/>
        </w:numPr>
        <w:ind w:left="426" w:hanging="426"/>
      </w:pPr>
      <w:r>
        <w:t>Bourání klenby uvolněním části konstrukce, která ji zajišťuje, lze provádět pouze strojním způsobem a je-li zajištěno, že zřícením klenby nedojde k ohrožení fyzických osob.</w:t>
      </w:r>
    </w:p>
    <w:p w14:paraId="7B6A6106" w14:textId="61B7D3BA" w:rsidR="005E6508" w:rsidRDefault="005E6508" w:rsidP="005E6508">
      <w:pPr>
        <w:pStyle w:val="Odstavecseseznamem"/>
        <w:numPr>
          <w:ilvl w:val="0"/>
          <w:numId w:val="55"/>
        </w:numPr>
        <w:ind w:left="426" w:hanging="426"/>
      </w:pPr>
      <w:r>
        <w:t>Bourací práce na pracovištích uspořádaných tak, že fyzické osoby provádějící tyto práce mohou být ohroženy padajícími předměty nebo materiálem z pracoviště nad nimi, se smí provádět pouze tehdy, jsou-li provedena opatření stanovená v technologickém postupu k zajištění bezpečnosti fyzických osob při takovém způsobu práce.</w:t>
      </w:r>
    </w:p>
    <w:p w14:paraId="75336C04" w14:textId="77777777" w:rsidR="005E6508" w:rsidRDefault="005E6508" w:rsidP="008E26ED">
      <w:pPr>
        <w:spacing w:after="0"/>
      </w:pPr>
    </w:p>
    <w:p w14:paraId="28EE42FB" w14:textId="10E75C95" w:rsidR="00535889" w:rsidRDefault="00535889" w:rsidP="00535889">
      <w:pPr>
        <w:pStyle w:val="Bezmezer"/>
      </w:pPr>
      <w:r>
        <w:t xml:space="preserve">V Českém Těšíně </w:t>
      </w:r>
      <w:r w:rsidR="00161E5C">
        <w:t>10</w:t>
      </w:r>
      <w:r>
        <w:t>/2020</w:t>
      </w:r>
    </w:p>
    <w:p w14:paraId="578C5273" w14:textId="77777777" w:rsidR="00535889" w:rsidRDefault="00535889" w:rsidP="00535889">
      <w:pPr>
        <w:pStyle w:val="Bezmezer"/>
      </w:pPr>
      <w:r>
        <w:t xml:space="preserve">Ing. Roman </w:t>
      </w:r>
      <w:proofErr w:type="spellStart"/>
      <w:r>
        <w:t>Hlaušek</w:t>
      </w:r>
      <w:proofErr w:type="spellEnd"/>
    </w:p>
    <w:p w14:paraId="63254C55" w14:textId="7F1CA26F" w:rsidR="00535889" w:rsidRPr="004F58D2" w:rsidRDefault="00535889" w:rsidP="005E6508">
      <w:pPr>
        <w:pStyle w:val="Bezmezer"/>
      </w:pPr>
      <w:r>
        <w:t>(1102492)</w:t>
      </w:r>
    </w:p>
    <w:sectPr w:rsidR="00535889" w:rsidRPr="004F58D2" w:rsidSect="001C3C86">
      <w:headerReference w:type="default" r:id="rId10"/>
      <w:footerReference w:type="default" r:id="rId11"/>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BC825" w14:textId="77777777" w:rsidR="00555B06" w:rsidRDefault="00555B06" w:rsidP="00E6638A">
      <w:pPr>
        <w:spacing w:after="0" w:line="240" w:lineRule="auto"/>
      </w:pPr>
      <w:r>
        <w:separator/>
      </w:r>
    </w:p>
  </w:endnote>
  <w:endnote w:type="continuationSeparator" w:id="0">
    <w:p w14:paraId="5038EC47" w14:textId="77777777" w:rsidR="00555B06" w:rsidRDefault="00555B06" w:rsidP="00E6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740111"/>
      <w:docPartObj>
        <w:docPartGallery w:val="Page Numbers (Bottom of Page)"/>
        <w:docPartUnique/>
      </w:docPartObj>
    </w:sdtPr>
    <w:sdtEndPr/>
    <w:sdtContent>
      <w:p w14:paraId="47425F6C" w14:textId="77CCC70D" w:rsidR="00F32A6B" w:rsidRDefault="00F32A6B">
        <w:pPr>
          <w:pStyle w:val="Zpat"/>
          <w:jc w:val="center"/>
        </w:pPr>
        <w:r>
          <w:fldChar w:fldCharType="begin"/>
        </w:r>
        <w:r>
          <w:instrText>PAGE   \* MERGEFORMAT</w:instrText>
        </w:r>
        <w:r>
          <w:fldChar w:fldCharType="separate"/>
        </w:r>
        <w:r>
          <w:t>2</w:t>
        </w:r>
        <w:r>
          <w:fldChar w:fldCharType="end"/>
        </w:r>
        <w:r>
          <w:t>/</w:t>
        </w:r>
        <w:r w:rsidR="005E6508">
          <w:t>4</w:t>
        </w:r>
      </w:p>
    </w:sdtContent>
  </w:sdt>
  <w:p w14:paraId="58538661" w14:textId="77777777" w:rsidR="00F32A6B" w:rsidRDefault="00F32A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D053C" w14:textId="77777777" w:rsidR="00555B06" w:rsidRDefault="00555B06" w:rsidP="00E6638A">
      <w:pPr>
        <w:spacing w:after="0" w:line="240" w:lineRule="auto"/>
      </w:pPr>
      <w:r>
        <w:separator/>
      </w:r>
    </w:p>
  </w:footnote>
  <w:footnote w:type="continuationSeparator" w:id="0">
    <w:p w14:paraId="7046555E" w14:textId="77777777" w:rsidR="00555B06" w:rsidRDefault="00555B06" w:rsidP="00E66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ADA36" w14:textId="27A5D4F5" w:rsidR="00F32A6B" w:rsidRPr="00AA3F4A" w:rsidRDefault="00F32A6B" w:rsidP="0027167C">
    <w:pPr>
      <w:spacing w:after="0"/>
      <w:jc w:val="right"/>
      <w:rPr>
        <w:i/>
        <w:sz w:val="18"/>
        <w:szCs w:val="18"/>
      </w:rPr>
    </w:pPr>
    <w:r>
      <w:rPr>
        <w:i/>
        <w:sz w:val="18"/>
        <w:szCs w:val="18"/>
      </w:rPr>
      <w:t>D</w:t>
    </w:r>
    <w:r w:rsidR="00BE356E">
      <w:rPr>
        <w:i/>
        <w:sz w:val="18"/>
        <w:szCs w:val="18"/>
      </w:rPr>
      <w:t xml:space="preserve">.1 </w:t>
    </w:r>
    <w:r>
      <w:rPr>
        <w:i/>
        <w:sz w:val="18"/>
        <w:szCs w:val="18"/>
      </w:rPr>
      <w:t>TECHNICKÁ ZPRÁVA</w:t>
    </w:r>
  </w:p>
  <w:p w14:paraId="17F23BA9" w14:textId="1E5AA927" w:rsidR="00F32A6B" w:rsidRPr="00B23813" w:rsidRDefault="00B23813" w:rsidP="00B23813">
    <w:pPr>
      <w:pStyle w:val="Zhlav"/>
      <w:jc w:val="right"/>
      <w:rPr>
        <w:i/>
        <w:iCs/>
      </w:rPr>
    </w:pPr>
    <w:r w:rsidRPr="00B23813">
      <w:rPr>
        <w:i/>
        <w:iCs/>
        <w:sz w:val="18"/>
        <w:szCs w:val="18"/>
      </w:rPr>
      <w:t xml:space="preserve">Demolice plechového skladu střediska </w:t>
    </w:r>
    <w:r w:rsidR="00C257B2">
      <w:rPr>
        <w:i/>
        <w:iCs/>
        <w:sz w:val="18"/>
        <w:szCs w:val="18"/>
      </w:rPr>
      <w:t>V</w:t>
    </w:r>
    <w:r w:rsidRPr="00B23813">
      <w:rPr>
        <w:i/>
        <w:iCs/>
        <w:sz w:val="18"/>
        <w:szCs w:val="18"/>
      </w:rPr>
      <w:t>eřejn</w:t>
    </w:r>
    <w:r w:rsidR="00C257B2">
      <w:rPr>
        <w:i/>
        <w:iCs/>
        <w:sz w:val="18"/>
        <w:szCs w:val="18"/>
      </w:rPr>
      <w:t>á</w:t>
    </w:r>
    <w:r w:rsidRPr="00B23813">
      <w:rPr>
        <w:i/>
        <w:iCs/>
        <w:sz w:val="18"/>
        <w:szCs w:val="18"/>
      </w:rPr>
      <w:t xml:space="preserve"> zele</w:t>
    </w:r>
    <w:r w:rsidR="00C257B2">
      <w:rPr>
        <w:i/>
        <w:iCs/>
        <w:sz w:val="18"/>
        <w:szCs w:val="18"/>
      </w:rPr>
      <w:t>ň na ul. Palackého 29</w:t>
    </w:r>
    <w:r w:rsidRPr="00B23813">
      <w:rPr>
        <w:i/>
        <w:iCs/>
        <w:sz w:val="18"/>
        <w:szCs w:val="18"/>
      </w:rPr>
      <w:t>, Nový Jičín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2819"/>
    <w:multiLevelType w:val="multilevel"/>
    <w:tmpl w:val="03483366"/>
    <w:styleLink w:val="WWNum2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7D17ABE"/>
    <w:multiLevelType w:val="multilevel"/>
    <w:tmpl w:val="1E3C6780"/>
    <w:styleLink w:val="WWNum2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C5E1B03"/>
    <w:multiLevelType w:val="hybridMultilevel"/>
    <w:tmpl w:val="793C84BC"/>
    <w:lvl w:ilvl="0" w:tplc="E8AEFEE6">
      <w:start w:val="2"/>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9674DC"/>
    <w:multiLevelType w:val="multilevel"/>
    <w:tmpl w:val="BDA85B46"/>
    <w:styleLink w:val="WWNum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15:restartNumberingAfterBreak="0">
    <w:nsid w:val="1482775B"/>
    <w:multiLevelType w:val="multilevel"/>
    <w:tmpl w:val="6FBC20A2"/>
    <w:lvl w:ilvl="0">
      <w:start w:val="1"/>
      <w:numFmt w:val="upperLetter"/>
      <w:lvlText w:val="%1."/>
      <w:lvlJc w:val="left"/>
      <w:pPr>
        <w:ind w:left="644" w:hanging="360"/>
      </w:pPr>
      <w:rPr>
        <w:rFonts w:hint="default"/>
      </w:rPr>
    </w:lvl>
    <w:lvl w:ilvl="1">
      <w:start w:val="1"/>
      <w:numFmt w:val="decimal"/>
      <w:lvlText w:val="%1.%2"/>
      <w:lvlJc w:val="left"/>
      <w:pPr>
        <w:ind w:left="860" w:hanging="576"/>
      </w:pPr>
    </w:lvl>
    <w:lvl w:ilvl="2">
      <w:start w:val="1"/>
      <w:numFmt w:val="decimal"/>
      <w:lvlText w:val="B.%3."/>
      <w:lvlJc w:val="left"/>
      <w:pPr>
        <w:ind w:left="1004" w:hanging="720"/>
      </w:pPr>
      <w:rPr>
        <w:rFonts w:hint="default"/>
      </w:rPr>
    </w:lvl>
    <w:lvl w:ilvl="3">
      <w:start w:val="1"/>
      <w:numFmt w:val="decimal"/>
      <w:lvlText w:val="%1.%2.%3.%4"/>
      <w:lvlJc w:val="left"/>
      <w:pPr>
        <w:ind w:left="1148" w:hanging="864"/>
      </w:pPr>
    </w:lvl>
    <w:lvl w:ilvl="4">
      <w:start w:val="1"/>
      <w:numFmt w:val="decimal"/>
      <w:pStyle w:val="Nadpis5"/>
      <w:lvlText w:val="%1.%2.%3.%4.%5"/>
      <w:lvlJc w:val="left"/>
      <w:pPr>
        <w:ind w:left="1292" w:hanging="1008"/>
      </w:pPr>
    </w:lvl>
    <w:lvl w:ilvl="5">
      <w:start w:val="1"/>
      <w:numFmt w:val="decimal"/>
      <w:pStyle w:val="Nadpis6"/>
      <w:lvlText w:val="%1.%2.%3.%4.%5.%6"/>
      <w:lvlJc w:val="left"/>
      <w:pPr>
        <w:ind w:left="1436" w:hanging="1152"/>
      </w:pPr>
    </w:lvl>
    <w:lvl w:ilvl="6">
      <w:start w:val="1"/>
      <w:numFmt w:val="decimal"/>
      <w:pStyle w:val="Nadpis7"/>
      <w:lvlText w:val="%1.%2.%3.%4.%5.%6.%7"/>
      <w:lvlJc w:val="left"/>
      <w:pPr>
        <w:ind w:left="1580" w:hanging="1296"/>
      </w:pPr>
    </w:lvl>
    <w:lvl w:ilvl="7">
      <w:start w:val="1"/>
      <w:numFmt w:val="decimal"/>
      <w:pStyle w:val="Nadpis8"/>
      <w:lvlText w:val="%1.%2.%3.%4.%5.%6.%7.%8"/>
      <w:lvlJc w:val="left"/>
      <w:pPr>
        <w:ind w:left="1724" w:hanging="1440"/>
      </w:pPr>
    </w:lvl>
    <w:lvl w:ilvl="8">
      <w:start w:val="1"/>
      <w:numFmt w:val="decimal"/>
      <w:pStyle w:val="Nadpis9"/>
      <w:lvlText w:val="%1.%2.%3.%4.%5.%6.%7.%8.%9"/>
      <w:lvlJc w:val="left"/>
      <w:pPr>
        <w:ind w:left="1868" w:hanging="1584"/>
      </w:pPr>
    </w:lvl>
  </w:abstractNum>
  <w:abstractNum w:abstractNumId="5" w15:restartNumberingAfterBreak="0">
    <w:nsid w:val="151F6B93"/>
    <w:multiLevelType w:val="hybridMultilevel"/>
    <w:tmpl w:val="585C4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CE4DB4"/>
    <w:multiLevelType w:val="multilevel"/>
    <w:tmpl w:val="4E4E7C2E"/>
    <w:styleLink w:val="WWNum2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1FC03AD2"/>
    <w:multiLevelType w:val="multilevel"/>
    <w:tmpl w:val="944237A0"/>
    <w:styleLink w:val="WWNum3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208E1C16"/>
    <w:multiLevelType w:val="multilevel"/>
    <w:tmpl w:val="44060FF2"/>
    <w:styleLink w:val="WWNum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211A2361"/>
    <w:multiLevelType w:val="multilevel"/>
    <w:tmpl w:val="E6FE6014"/>
    <w:styleLink w:val="WWNum3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0A7CFA"/>
    <w:multiLevelType w:val="hybridMultilevel"/>
    <w:tmpl w:val="AEA22DB2"/>
    <w:lvl w:ilvl="0" w:tplc="E8AEFEE6">
      <w:start w:val="2"/>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E55336D"/>
    <w:multiLevelType w:val="multilevel"/>
    <w:tmpl w:val="45CCF320"/>
    <w:styleLink w:val="WWNum1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2FCE2C1F"/>
    <w:multiLevelType w:val="multilevel"/>
    <w:tmpl w:val="D6562986"/>
    <w:styleLink w:val="WWNum2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30295C83"/>
    <w:multiLevelType w:val="multilevel"/>
    <w:tmpl w:val="A95A948A"/>
    <w:styleLink w:val="WWNum1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4F56494"/>
    <w:multiLevelType w:val="multilevel"/>
    <w:tmpl w:val="8A0EC39C"/>
    <w:styleLink w:val="WWNum3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5E4389F"/>
    <w:multiLevelType w:val="hybridMultilevel"/>
    <w:tmpl w:val="770096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340DBA"/>
    <w:multiLevelType w:val="multilevel"/>
    <w:tmpl w:val="A64ACD7A"/>
    <w:styleLink w:val="WWNum1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3A6919F5"/>
    <w:multiLevelType w:val="hybridMultilevel"/>
    <w:tmpl w:val="B67E7390"/>
    <w:lvl w:ilvl="0" w:tplc="E8AEFEE6">
      <w:start w:val="2"/>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D45505"/>
    <w:multiLevelType w:val="multilevel"/>
    <w:tmpl w:val="BB44BFF4"/>
    <w:styleLink w:val="WWNum8"/>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3D93762D"/>
    <w:multiLevelType w:val="multilevel"/>
    <w:tmpl w:val="D444AD80"/>
    <w:styleLink w:val="WWNum1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445D5B9A"/>
    <w:multiLevelType w:val="hybridMultilevel"/>
    <w:tmpl w:val="13E230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574692"/>
    <w:multiLevelType w:val="multilevel"/>
    <w:tmpl w:val="34C4932E"/>
    <w:styleLink w:val="WWNum2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4D4F1E8B"/>
    <w:multiLevelType w:val="multilevel"/>
    <w:tmpl w:val="D94AA672"/>
    <w:styleLink w:val="WWNum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4E8C05A5"/>
    <w:multiLevelType w:val="multilevel"/>
    <w:tmpl w:val="6ADE4E24"/>
    <w:styleLink w:val="WWNum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4F245DEE"/>
    <w:multiLevelType w:val="multilevel"/>
    <w:tmpl w:val="994EE1F4"/>
    <w:styleLink w:val="WWNum1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4F85640B"/>
    <w:multiLevelType w:val="multilevel"/>
    <w:tmpl w:val="9968949E"/>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57EE087D"/>
    <w:multiLevelType w:val="multilevel"/>
    <w:tmpl w:val="B70CDAFC"/>
    <w:styleLink w:val="WWNum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5AD152F2"/>
    <w:multiLevelType w:val="hybridMultilevel"/>
    <w:tmpl w:val="6EBA2F00"/>
    <w:lvl w:ilvl="0" w:tplc="99EEB1B2">
      <w:start w:val="1"/>
      <w:numFmt w:val="lowerLetter"/>
      <w:pStyle w:val="Nadpis2"/>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DB002B"/>
    <w:multiLevelType w:val="hybridMultilevel"/>
    <w:tmpl w:val="ECFADC22"/>
    <w:lvl w:ilvl="0" w:tplc="D1EE149C">
      <w:start w:val="1"/>
      <w:numFmt w:val="lowerLetter"/>
      <w:pStyle w:val="Nadpis4"/>
      <w:suff w:val="space"/>
      <w:lvlText w:val="%1)"/>
      <w:lvlJc w:val="left"/>
      <w:pPr>
        <w:ind w:left="0" w:firstLine="0"/>
      </w:pPr>
      <w:rPr>
        <w:rFonts w:hint="default"/>
      </w:rPr>
    </w:lvl>
    <w:lvl w:ilvl="1" w:tplc="04050019" w:tentative="1">
      <w:start w:val="1"/>
      <w:numFmt w:val="lowerLetter"/>
      <w:lvlText w:val="%2."/>
      <w:lvlJc w:val="left"/>
      <w:pPr>
        <w:ind w:left="4135" w:hanging="360"/>
      </w:pPr>
    </w:lvl>
    <w:lvl w:ilvl="2" w:tplc="0405001B" w:tentative="1">
      <w:start w:val="1"/>
      <w:numFmt w:val="lowerRoman"/>
      <w:lvlText w:val="%3."/>
      <w:lvlJc w:val="right"/>
      <w:pPr>
        <w:ind w:left="4855" w:hanging="180"/>
      </w:pPr>
    </w:lvl>
    <w:lvl w:ilvl="3" w:tplc="0405000F" w:tentative="1">
      <w:start w:val="1"/>
      <w:numFmt w:val="decimal"/>
      <w:lvlText w:val="%4."/>
      <w:lvlJc w:val="left"/>
      <w:pPr>
        <w:ind w:left="5575" w:hanging="360"/>
      </w:pPr>
    </w:lvl>
    <w:lvl w:ilvl="4" w:tplc="04050019" w:tentative="1">
      <w:start w:val="1"/>
      <w:numFmt w:val="lowerLetter"/>
      <w:lvlText w:val="%5."/>
      <w:lvlJc w:val="left"/>
      <w:pPr>
        <w:ind w:left="6295" w:hanging="360"/>
      </w:pPr>
    </w:lvl>
    <w:lvl w:ilvl="5" w:tplc="0405001B" w:tentative="1">
      <w:start w:val="1"/>
      <w:numFmt w:val="lowerRoman"/>
      <w:lvlText w:val="%6."/>
      <w:lvlJc w:val="right"/>
      <w:pPr>
        <w:ind w:left="7015" w:hanging="180"/>
      </w:pPr>
    </w:lvl>
    <w:lvl w:ilvl="6" w:tplc="0405000F" w:tentative="1">
      <w:start w:val="1"/>
      <w:numFmt w:val="decimal"/>
      <w:lvlText w:val="%7."/>
      <w:lvlJc w:val="left"/>
      <w:pPr>
        <w:ind w:left="7735" w:hanging="360"/>
      </w:pPr>
    </w:lvl>
    <w:lvl w:ilvl="7" w:tplc="04050019" w:tentative="1">
      <w:start w:val="1"/>
      <w:numFmt w:val="lowerLetter"/>
      <w:lvlText w:val="%8."/>
      <w:lvlJc w:val="left"/>
      <w:pPr>
        <w:ind w:left="8455" w:hanging="360"/>
      </w:pPr>
    </w:lvl>
    <w:lvl w:ilvl="8" w:tplc="0405001B" w:tentative="1">
      <w:start w:val="1"/>
      <w:numFmt w:val="lowerRoman"/>
      <w:lvlText w:val="%9."/>
      <w:lvlJc w:val="right"/>
      <w:pPr>
        <w:ind w:left="9175" w:hanging="180"/>
      </w:pPr>
    </w:lvl>
  </w:abstractNum>
  <w:abstractNum w:abstractNumId="30" w15:restartNumberingAfterBreak="0">
    <w:nsid w:val="60667759"/>
    <w:multiLevelType w:val="multilevel"/>
    <w:tmpl w:val="D0807614"/>
    <w:styleLink w:val="WWNum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14A275C"/>
    <w:multiLevelType w:val="multilevel"/>
    <w:tmpl w:val="59687AAA"/>
    <w:styleLink w:val="WWNum1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63657343"/>
    <w:multiLevelType w:val="multilevel"/>
    <w:tmpl w:val="2B441EEA"/>
    <w:styleLink w:val="WWNum3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64B82158"/>
    <w:multiLevelType w:val="hybridMultilevel"/>
    <w:tmpl w:val="ED7A0C3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A132791"/>
    <w:multiLevelType w:val="multilevel"/>
    <w:tmpl w:val="52F6FD20"/>
    <w:styleLink w:val="WWNum1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6A7C63EC"/>
    <w:multiLevelType w:val="multilevel"/>
    <w:tmpl w:val="28B6490C"/>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6B295DAC"/>
    <w:multiLevelType w:val="multilevel"/>
    <w:tmpl w:val="B69AA26C"/>
    <w:styleLink w:val="WWNum3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6D7D1AC5"/>
    <w:multiLevelType w:val="multilevel"/>
    <w:tmpl w:val="77AED2CC"/>
    <w:styleLink w:val="WWNum2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15:restartNumberingAfterBreak="0">
    <w:nsid w:val="6E9227B4"/>
    <w:multiLevelType w:val="multilevel"/>
    <w:tmpl w:val="992C9B8C"/>
    <w:styleLink w:val="WWNum1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2EC0DE7"/>
    <w:multiLevelType w:val="multilevel"/>
    <w:tmpl w:val="3A229418"/>
    <w:lvl w:ilvl="0">
      <w:start w:val="1"/>
      <w:numFmt w:val="none"/>
      <w:lvlText w:val=""/>
      <w:lvlJc w:val="left"/>
      <w:pPr>
        <w:ind w:left="432" w:hanging="432"/>
      </w:pPr>
      <w:rPr>
        <w:rFonts w:hint="default"/>
      </w:rPr>
    </w:lvl>
    <w:lvl w:ilvl="1">
      <w:start w:val="2"/>
      <w:numFmt w:val="decimal"/>
      <w:lvlText w:val="%1B.%2"/>
      <w:lvlJc w:val="left"/>
      <w:pPr>
        <w:ind w:left="576" w:hanging="576"/>
      </w:pPr>
      <w:rPr>
        <w:rFonts w:hint="default"/>
      </w:rPr>
    </w:lvl>
    <w:lvl w:ilvl="2">
      <w:start w:val="1"/>
      <w:numFmt w:val="decimal"/>
      <w:lvlText w:val="%1B.%2.%3"/>
      <w:lvlJc w:val="left"/>
      <w:pPr>
        <w:ind w:left="0" w:firstLine="0"/>
      </w:pPr>
      <w:rPr>
        <w:rFonts w:hint="default"/>
      </w:rPr>
    </w:lvl>
    <w:lvl w:ilvl="3">
      <w:start w:val="1"/>
      <w:numFmt w:val="lowerLetter"/>
      <w:lvlText w:val="%1%4)"/>
      <w:lvlJc w:val="left"/>
      <w:pPr>
        <w:ind w:left="0" w:firstLine="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5E76F22"/>
    <w:multiLevelType w:val="multilevel"/>
    <w:tmpl w:val="7178990A"/>
    <w:styleLink w:val="WWNum1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15:restartNumberingAfterBreak="0">
    <w:nsid w:val="7959144A"/>
    <w:multiLevelType w:val="multilevel"/>
    <w:tmpl w:val="0B6C9E5A"/>
    <w:styleLink w:val="WWNum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7DA32D45"/>
    <w:multiLevelType w:val="hybridMultilevel"/>
    <w:tmpl w:val="C618158E"/>
    <w:lvl w:ilvl="0" w:tplc="EA3C7EFA">
      <w:start w:val="1"/>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9"/>
  </w:num>
  <w:num w:numId="3">
    <w:abstractNumId w:val="28"/>
  </w:num>
  <w:num w:numId="4">
    <w:abstractNumId w:val="40"/>
  </w:num>
  <w:num w:numId="5">
    <w:abstractNumId w:val="29"/>
    <w:lvlOverride w:ilvl="0">
      <w:startOverride w:val="1"/>
    </w:lvlOverride>
  </w:num>
  <w:num w:numId="6">
    <w:abstractNumId w:val="29"/>
    <w:lvlOverride w:ilvl="0">
      <w:startOverride w:val="1"/>
    </w:lvlOverride>
  </w:num>
  <w:num w:numId="7">
    <w:abstractNumId w:val="26"/>
  </w:num>
  <w:num w:numId="8">
    <w:abstractNumId w:val="29"/>
    <w:lvlOverride w:ilvl="0">
      <w:startOverride w:val="1"/>
    </w:lvlOverride>
  </w:num>
  <w:num w:numId="9">
    <w:abstractNumId w:val="29"/>
    <w:lvlOverride w:ilvl="0">
      <w:startOverride w:val="1"/>
    </w:lvlOverride>
  </w:num>
  <w:num w:numId="10">
    <w:abstractNumId w:val="29"/>
    <w:lvlOverride w:ilvl="0">
      <w:startOverride w:val="1"/>
    </w:lvlOverride>
  </w:num>
  <w:num w:numId="11">
    <w:abstractNumId w:val="29"/>
    <w:lvlOverride w:ilvl="0">
      <w:startOverride w:val="1"/>
    </w:lvlOverride>
  </w:num>
  <w:num w:numId="12">
    <w:abstractNumId w:val="29"/>
    <w:lvlOverride w:ilvl="0">
      <w:startOverride w:val="1"/>
    </w:lvlOverride>
  </w:num>
  <w:num w:numId="13">
    <w:abstractNumId w:val="29"/>
    <w:lvlOverride w:ilvl="0">
      <w:startOverride w:val="1"/>
    </w:lvlOverride>
  </w:num>
  <w:num w:numId="14">
    <w:abstractNumId w:val="29"/>
    <w:lvlOverride w:ilvl="0">
      <w:startOverride w:val="1"/>
    </w:lvlOverride>
  </w:num>
  <w:num w:numId="15">
    <w:abstractNumId w:val="29"/>
    <w:lvlOverride w:ilvl="0">
      <w:startOverride w:val="1"/>
    </w:lvlOverride>
  </w:num>
  <w:num w:numId="16">
    <w:abstractNumId w:val="35"/>
  </w:num>
  <w:num w:numId="17">
    <w:abstractNumId w:val="39"/>
  </w:num>
  <w:num w:numId="18">
    <w:abstractNumId w:val="30"/>
  </w:num>
  <w:num w:numId="19">
    <w:abstractNumId w:val="8"/>
  </w:num>
  <w:num w:numId="20">
    <w:abstractNumId w:val="27"/>
  </w:num>
  <w:num w:numId="21">
    <w:abstractNumId w:val="24"/>
  </w:num>
  <w:num w:numId="22">
    <w:abstractNumId w:val="3"/>
  </w:num>
  <w:num w:numId="23">
    <w:abstractNumId w:val="42"/>
  </w:num>
  <w:num w:numId="24">
    <w:abstractNumId w:val="19"/>
  </w:num>
  <w:num w:numId="25">
    <w:abstractNumId w:val="23"/>
  </w:num>
  <w:num w:numId="26">
    <w:abstractNumId w:val="41"/>
  </w:num>
  <w:num w:numId="27">
    <w:abstractNumId w:val="20"/>
  </w:num>
  <w:num w:numId="28">
    <w:abstractNumId w:val="25"/>
  </w:num>
  <w:num w:numId="29">
    <w:abstractNumId w:val="34"/>
  </w:num>
  <w:num w:numId="30">
    <w:abstractNumId w:val="17"/>
  </w:num>
  <w:num w:numId="31">
    <w:abstractNumId w:val="12"/>
  </w:num>
  <w:num w:numId="32">
    <w:abstractNumId w:val="38"/>
  </w:num>
  <w:num w:numId="33">
    <w:abstractNumId w:val="31"/>
  </w:num>
  <w:num w:numId="34">
    <w:abstractNumId w:val="14"/>
  </w:num>
  <w:num w:numId="35">
    <w:abstractNumId w:val="37"/>
  </w:num>
  <w:num w:numId="36">
    <w:abstractNumId w:val="22"/>
  </w:num>
  <w:num w:numId="37">
    <w:abstractNumId w:val="1"/>
  </w:num>
  <w:num w:numId="38">
    <w:abstractNumId w:val="0"/>
  </w:num>
  <w:num w:numId="39">
    <w:abstractNumId w:val="6"/>
  </w:num>
  <w:num w:numId="40">
    <w:abstractNumId w:val="13"/>
  </w:num>
  <w:num w:numId="41">
    <w:abstractNumId w:val="32"/>
  </w:num>
  <w:num w:numId="42">
    <w:abstractNumId w:val="7"/>
  </w:num>
  <w:num w:numId="43">
    <w:abstractNumId w:val="9"/>
  </w:num>
  <w:num w:numId="44">
    <w:abstractNumId w:val="15"/>
  </w:num>
  <w:num w:numId="45">
    <w:abstractNumId w:val="36"/>
  </w:num>
  <w:num w:numId="46">
    <w:abstractNumId w:val="10"/>
  </w:num>
  <w:num w:numId="47">
    <w:abstractNumId w:val="21"/>
  </w:num>
  <w:num w:numId="48">
    <w:abstractNumId w:val="16"/>
  </w:num>
  <w:num w:numId="49">
    <w:abstractNumId w:val="43"/>
  </w:num>
  <w:num w:numId="50">
    <w:abstractNumId w:val="5"/>
  </w:num>
  <w:num w:numId="51">
    <w:abstractNumId w:val="43"/>
  </w:num>
  <w:num w:numId="52">
    <w:abstractNumId w:val="2"/>
  </w:num>
  <w:num w:numId="53">
    <w:abstractNumId w:val="18"/>
  </w:num>
  <w:num w:numId="54">
    <w:abstractNumId w:val="11"/>
  </w:num>
  <w:num w:numId="55">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25"/>
    <w:rsid w:val="00001FA6"/>
    <w:rsid w:val="0000370D"/>
    <w:rsid w:val="00014B1D"/>
    <w:rsid w:val="00052BC9"/>
    <w:rsid w:val="000534FD"/>
    <w:rsid w:val="00054A0B"/>
    <w:rsid w:val="00057885"/>
    <w:rsid w:val="00077ECB"/>
    <w:rsid w:val="000A1D95"/>
    <w:rsid w:val="000C0C52"/>
    <w:rsid w:val="000F605A"/>
    <w:rsid w:val="00106FC4"/>
    <w:rsid w:val="0011030F"/>
    <w:rsid w:val="00117804"/>
    <w:rsid w:val="001279A9"/>
    <w:rsid w:val="00143D17"/>
    <w:rsid w:val="001520DC"/>
    <w:rsid w:val="0015786D"/>
    <w:rsid w:val="00161E5C"/>
    <w:rsid w:val="00170D16"/>
    <w:rsid w:val="00172D6C"/>
    <w:rsid w:val="00191B23"/>
    <w:rsid w:val="001A0A07"/>
    <w:rsid w:val="001A0E60"/>
    <w:rsid w:val="001B53DD"/>
    <w:rsid w:val="001C2B3C"/>
    <w:rsid w:val="001C3C86"/>
    <w:rsid w:val="001E1235"/>
    <w:rsid w:val="001E3A2B"/>
    <w:rsid w:val="002020A9"/>
    <w:rsid w:val="0027167C"/>
    <w:rsid w:val="002A0D94"/>
    <w:rsid w:val="002A2BAD"/>
    <w:rsid w:val="002A77DC"/>
    <w:rsid w:val="002B4F59"/>
    <w:rsid w:val="002E310A"/>
    <w:rsid w:val="002F582C"/>
    <w:rsid w:val="00307120"/>
    <w:rsid w:val="003154E7"/>
    <w:rsid w:val="00330813"/>
    <w:rsid w:val="003440B3"/>
    <w:rsid w:val="00392BFD"/>
    <w:rsid w:val="003A0A88"/>
    <w:rsid w:val="003A53AB"/>
    <w:rsid w:val="003A5C1D"/>
    <w:rsid w:val="003A5C9C"/>
    <w:rsid w:val="003D386C"/>
    <w:rsid w:val="00445972"/>
    <w:rsid w:val="00490435"/>
    <w:rsid w:val="004A0886"/>
    <w:rsid w:val="004A6CFF"/>
    <w:rsid w:val="004C1FAA"/>
    <w:rsid w:val="004F27BB"/>
    <w:rsid w:val="004F4324"/>
    <w:rsid w:val="004F58D2"/>
    <w:rsid w:val="00510222"/>
    <w:rsid w:val="00535889"/>
    <w:rsid w:val="00553CBE"/>
    <w:rsid w:val="00555B02"/>
    <w:rsid w:val="00555B06"/>
    <w:rsid w:val="0056313F"/>
    <w:rsid w:val="005B3F97"/>
    <w:rsid w:val="005D6304"/>
    <w:rsid w:val="005D7C52"/>
    <w:rsid w:val="005E4FF4"/>
    <w:rsid w:val="005E6508"/>
    <w:rsid w:val="005F1AF8"/>
    <w:rsid w:val="005F27FC"/>
    <w:rsid w:val="005F3712"/>
    <w:rsid w:val="00610330"/>
    <w:rsid w:val="00686898"/>
    <w:rsid w:val="006F091D"/>
    <w:rsid w:val="006F36A9"/>
    <w:rsid w:val="00737165"/>
    <w:rsid w:val="007469EA"/>
    <w:rsid w:val="007700F5"/>
    <w:rsid w:val="00771675"/>
    <w:rsid w:val="00773192"/>
    <w:rsid w:val="00773CBE"/>
    <w:rsid w:val="00782870"/>
    <w:rsid w:val="007C2B36"/>
    <w:rsid w:val="007C2BE7"/>
    <w:rsid w:val="007C6D6A"/>
    <w:rsid w:val="007D3113"/>
    <w:rsid w:val="007E0A8A"/>
    <w:rsid w:val="0081156A"/>
    <w:rsid w:val="00820C0D"/>
    <w:rsid w:val="0082185C"/>
    <w:rsid w:val="008434F0"/>
    <w:rsid w:val="00853EFB"/>
    <w:rsid w:val="00856C4D"/>
    <w:rsid w:val="0089346D"/>
    <w:rsid w:val="008B12C0"/>
    <w:rsid w:val="008B5989"/>
    <w:rsid w:val="008C2551"/>
    <w:rsid w:val="008E26ED"/>
    <w:rsid w:val="008E344B"/>
    <w:rsid w:val="008E36DB"/>
    <w:rsid w:val="008F50DD"/>
    <w:rsid w:val="008F7DDE"/>
    <w:rsid w:val="00907478"/>
    <w:rsid w:val="0091244B"/>
    <w:rsid w:val="00923C3D"/>
    <w:rsid w:val="0093292D"/>
    <w:rsid w:val="009548B3"/>
    <w:rsid w:val="00980CB4"/>
    <w:rsid w:val="009914CF"/>
    <w:rsid w:val="009A01E9"/>
    <w:rsid w:val="009A0928"/>
    <w:rsid w:val="009A2496"/>
    <w:rsid w:val="009D1AE2"/>
    <w:rsid w:val="00A24196"/>
    <w:rsid w:val="00A271A9"/>
    <w:rsid w:val="00A31A25"/>
    <w:rsid w:val="00A469F4"/>
    <w:rsid w:val="00A675A5"/>
    <w:rsid w:val="00A95DAB"/>
    <w:rsid w:val="00AA212E"/>
    <w:rsid w:val="00AE24D2"/>
    <w:rsid w:val="00AF3540"/>
    <w:rsid w:val="00B04312"/>
    <w:rsid w:val="00B16B70"/>
    <w:rsid w:val="00B23813"/>
    <w:rsid w:val="00B32D12"/>
    <w:rsid w:val="00BA409A"/>
    <w:rsid w:val="00BB40F4"/>
    <w:rsid w:val="00BE356E"/>
    <w:rsid w:val="00BF46E9"/>
    <w:rsid w:val="00C02499"/>
    <w:rsid w:val="00C148A7"/>
    <w:rsid w:val="00C22E28"/>
    <w:rsid w:val="00C23082"/>
    <w:rsid w:val="00C257B2"/>
    <w:rsid w:val="00C27D68"/>
    <w:rsid w:val="00C30431"/>
    <w:rsid w:val="00C66401"/>
    <w:rsid w:val="00C74AB7"/>
    <w:rsid w:val="00C85811"/>
    <w:rsid w:val="00C94635"/>
    <w:rsid w:val="00C96F27"/>
    <w:rsid w:val="00CA642E"/>
    <w:rsid w:val="00CB76B5"/>
    <w:rsid w:val="00D04DB7"/>
    <w:rsid w:val="00D11694"/>
    <w:rsid w:val="00D129D8"/>
    <w:rsid w:val="00D51F5C"/>
    <w:rsid w:val="00D90BB7"/>
    <w:rsid w:val="00DA5429"/>
    <w:rsid w:val="00DB1567"/>
    <w:rsid w:val="00DD679C"/>
    <w:rsid w:val="00DE0883"/>
    <w:rsid w:val="00E01522"/>
    <w:rsid w:val="00E20017"/>
    <w:rsid w:val="00E3125E"/>
    <w:rsid w:val="00E36FA0"/>
    <w:rsid w:val="00E464E1"/>
    <w:rsid w:val="00E6638A"/>
    <w:rsid w:val="00E7098C"/>
    <w:rsid w:val="00E73D56"/>
    <w:rsid w:val="00E77FF2"/>
    <w:rsid w:val="00EA5081"/>
    <w:rsid w:val="00EA54E5"/>
    <w:rsid w:val="00EA565B"/>
    <w:rsid w:val="00EB2DAC"/>
    <w:rsid w:val="00EE6898"/>
    <w:rsid w:val="00F136DE"/>
    <w:rsid w:val="00F25CA5"/>
    <w:rsid w:val="00F32A6B"/>
    <w:rsid w:val="00F83C7D"/>
    <w:rsid w:val="00F95CAD"/>
    <w:rsid w:val="00FC1B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55F2B"/>
  <w15:chartTrackingRefBased/>
  <w15:docId w15:val="{7498860C-8F35-42DD-80D0-D4AA3E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7120"/>
    <w:pPr>
      <w:jc w:val="both"/>
    </w:pPr>
    <w:rPr>
      <w:rFonts w:ascii="Arial" w:hAnsi="Arial"/>
      <w:sz w:val="20"/>
    </w:rPr>
  </w:style>
  <w:style w:type="paragraph" w:styleId="Nadpis1">
    <w:name w:val="heading 1"/>
    <w:basedOn w:val="Normln"/>
    <w:next w:val="Normln"/>
    <w:link w:val="Nadpis1Char"/>
    <w:uiPriority w:val="9"/>
    <w:qFormat/>
    <w:rsid w:val="00E77FF2"/>
    <w:pPr>
      <w:keepNext/>
      <w:keepLines/>
      <w:spacing w:before="360"/>
      <w:outlineLvl w:val="0"/>
    </w:pPr>
    <w:rPr>
      <w:rFonts w:eastAsiaTheme="majorEastAsia" w:cstheme="majorBidi"/>
      <w:b/>
      <w:bCs/>
      <w:caps/>
      <w:color w:val="000000" w:themeColor="text1"/>
      <w:sz w:val="36"/>
      <w:szCs w:val="36"/>
    </w:rPr>
  </w:style>
  <w:style w:type="paragraph" w:styleId="Nadpis2">
    <w:name w:val="heading 2"/>
    <w:basedOn w:val="Normln"/>
    <w:next w:val="Normln"/>
    <w:link w:val="Nadpis2Char"/>
    <w:uiPriority w:val="9"/>
    <w:unhideWhenUsed/>
    <w:qFormat/>
    <w:rsid w:val="0093292D"/>
    <w:pPr>
      <w:keepNext/>
      <w:keepLines/>
      <w:numPr>
        <w:numId w:val="3"/>
      </w:numPr>
      <w:spacing w:before="360"/>
      <w:outlineLvl w:val="1"/>
    </w:pPr>
    <w:rPr>
      <w:rFonts w:eastAsiaTheme="majorEastAsia" w:cstheme="majorBidi"/>
      <w:b/>
      <w:bCs/>
      <w:color w:val="000000" w:themeColor="text1"/>
      <w:sz w:val="24"/>
      <w:szCs w:val="28"/>
    </w:rPr>
  </w:style>
  <w:style w:type="paragraph" w:styleId="Nadpis3">
    <w:name w:val="heading 3"/>
    <w:basedOn w:val="Normln"/>
    <w:next w:val="Normln"/>
    <w:link w:val="Nadpis3Char"/>
    <w:uiPriority w:val="9"/>
    <w:unhideWhenUsed/>
    <w:qFormat/>
    <w:rsid w:val="002A0D94"/>
    <w:pPr>
      <w:keepNext/>
      <w:keepLines/>
      <w:spacing w:before="200"/>
      <w:outlineLvl w:val="2"/>
    </w:pPr>
    <w:rPr>
      <w:rFonts w:eastAsiaTheme="majorEastAsia" w:cstheme="majorBidi"/>
      <w:bCs/>
      <w:color w:val="000000" w:themeColor="text1"/>
      <w:sz w:val="22"/>
      <w:u w:val="single"/>
    </w:rPr>
  </w:style>
  <w:style w:type="paragraph" w:styleId="Nadpis4">
    <w:name w:val="heading 4"/>
    <w:basedOn w:val="Normln"/>
    <w:next w:val="Normln"/>
    <w:link w:val="Nadpis4Char"/>
    <w:uiPriority w:val="9"/>
    <w:unhideWhenUsed/>
    <w:qFormat/>
    <w:rsid w:val="00D11694"/>
    <w:pPr>
      <w:keepNext/>
      <w:keepLines/>
      <w:numPr>
        <w:numId w:val="2"/>
      </w:numPr>
      <w:mirrorIndents/>
      <w:outlineLvl w:val="3"/>
    </w:pPr>
    <w:rPr>
      <w:rFonts w:eastAsiaTheme="majorEastAsia" w:cstheme="majorBidi"/>
      <w:b/>
      <w:bCs/>
      <w:iCs/>
      <w:color w:val="000000" w:themeColor="text1"/>
    </w:rPr>
  </w:style>
  <w:style w:type="paragraph" w:styleId="Nadpis5">
    <w:name w:val="heading 5"/>
    <w:basedOn w:val="Normln"/>
    <w:next w:val="Normln"/>
    <w:link w:val="Nadpis5Char"/>
    <w:uiPriority w:val="9"/>
    <w:semiHidden/>
    <w:unhideWhenUsed/>
    <w:qFormat/>
    <w:rsid w:val="00A31A25"/>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dpis6">
    <w:name w:val="heading 6"/>
    <w:basedOn w:val="Normln"/>
    <w:next w:val="Normln"/>
    <w:link w:val="Nadpis6Char"/>
    <w:uiPriority w:val="9"/>
    <w:semiHidden/>
    <w:unhideWhenUsed/>
    <w:qFormat/>
    <w:rsid w:val="00A31A25"/>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dpis7">
    <w:name w:val="heading 7"/>
    <w:basedOn w:val="Normln"/>
    <w:next w:val="Normln"/>
    <w:link w:val="Nadpis7Char"/>
    <w:uiPriority w:val="9"/>
    <w:semiHidden/>
    <w:unhideWhenUsed/>
    <w:qFormat/>
    <w:rsid w:val="00A31A2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1A2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1A2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694"/>
    <w:rPr>
      <w:rFonts w:ascii="Arial" w:eastAsiaTheme="majorEastAsia" w:hAnsi="Arial" w:cstheme="majorBidi"/>
      <w:b/>
      <w:bCs/>
      <w:caps/>
      <w:color w:val="000000" w:themeColor="text1"/>
      <w:sz w:val="36"/>
      <w:szCs w:val="36"/>
    </w:rPr>
  </w:style>
  <w:style w:type="character" w:customStyle="1" w:styleId="Nadpis2Char">
    <w:name w:val="Nadpis 2 Char"/>
    <w:basedOn w:val="Standardnpsmoodstavce"/>
    <w:link w:val="Nadpis2"/>
    <w:uiPriority w:val="9"/>
    <w:rsid w:val="0093292D"/>
    <w:rPr>
      <w:rFonts w:ascii="Arial" w:eastAsiaTheme="majorEastAsia" w:hAnsi="Arial" w:cstheme="majorBidi"/>
      <w:b/>
      <w:bCs/>
      <w:color w:val="000000" w:themeColor="text1"/>
      <w:sz w:val="24"/>
      <w:szCs w:val="28"/>
    </w:rPr>
  </w:style>
  <w:style w:type="character" w:customStyle="1" w:styleId="Nadpis3Char">
    <w:name w:val="Nadpis 3 Char"/>
    <w:basedOn w:val="Standardnpsmoodstavce"/>
    <w:link w:val="Nadpis3"/>
    <w:uiPriority w:val="9"/>
    <w:rsid w:val="002A0D94"/>
    <w:rPr>
      <w:rFonts w:ascii="Arial" w:eastAsiaTheme="majorEastAsia" w:hAnsi="Arial" w:cstheme="majorBidi"/>
      <w:bCs/>
      <w:color w:val="000000" w:themeColor="text1"/>
      <w:u w:val="single"/>
    </w:rPr>
  </w:style>
  <w:style w:type="character" w:customStyle="1" w:styleId="Nadpis4Char">
    <w:name w:val="Nadpis 4 Char"/>
    <w:basedOn w:val="Standardnpsmoodstavce"/>
    <w:link w:val="Nadpis4"/>
    <w:uiPriority w:val="9"/>
    <w:rsid w:val="00D11694"/>
    <w:rPr>
      <w:rFonts w:ascii="Arial" w:eastAsiaTheme="majorEastAsia" w:hAnsi="Arial" w:cstheme="majorBidi"/>
      <w:b/>
      <w:bCs/>
      <w:iCs/>
      <w:color w:val="000000" w:themeColor="text1"/>
      <w:sz w:val="20"/>
    </w:rPr>
  </w:style>
  <w:style w:type="character" w:customStyle="1" w:styleId="Nadpis5Char">
    <w:name w:val="Nadpis 5 Char"/>
    <w:basedOn w:val="Standardnpsmoodstavce"/>
    <w:link w:val="Nadpis5"/>
    <w:uiPriority w:val="9"/>
    <w:semiHidden/>
    <w:rsid w:val="00A31A25"/>
    <w:rPr>
      <w:rFonts w:asciiTheme="majorHAnsi" w:eastAsiaTheme="majorEastAsia" w:hAnsiTheme="majorHAnsi" w:cstheme="majorBidi"/>
      <w:color w:val="323E4F" w:themeColor="text2" w:themeShade="BF"/>
      <w:sz w:val="20"/>
    </w:rPr>
  </w:style>
  <w:style w:type="character" w:customStyle="1" w:styleId="Nadpis6Char">
    <w:name w:val="Nadpis 6 Char"/>
    <w:basedOn w:val="Standardnpsmoodstavce"/>
    <w:link w:val="Nadpis6"/>
    <w:uiPriority w:val="9"/>
    <w:semiHidden/>
    <w:rsid w:val="00A31A25"/>
    <w:rPr>
      <w:rFonts w:asciiTheme="majorHAnsi" w:eastAsiaTheme="majorEastAsia" w:hAnsiTheme="majorHAnsi" w:cstheme="majorBidi"/>
      <w:i/>
      <w:iCs/>
      <w:color w:val="323E4F" w:themeColor="text2" w:themeShade="BF"/>
      <w:sz w:val="20"/>
    </w:rPr>
  </w:style>
  <w:style w:type="character" w:customStyle="1" w:styleId="Nadpis7Char">
    <w:name w:val="Nadpis 7 Char"/>
    <w:basedOn w:val="Standardnpsmoodstavce"/>
    <w:link w:val="Nadpis7"/>
    <w:uiPriority w:val="9"/>
    <w:semiHidden/>
    <w:rsid w:val="00A31A25"/>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A31A2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31A25"/>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A31A25"/>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A31A2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sid w:val="00A31A25"/>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rsid w:val="00A31A25"/>
    <w:pPr>
      <w:numPr>
        <w:ilvl w:val="1"/>
      </w:numPr>
    </w:pPr>
    <w:rPr>
      <w:color w:val="5A5A5A" w:themeColor="text1" w:themeTint="A5"/>
      <w:spacing w:val="10"/>
    </w:rPr>
  </w:style>
  <w:style w:type="character" w:customStyle="1" w:styleId="PodnadpisChar">
    <w:name w:val="Podnadpis Char"/>
    <w:basedOn w:val="Standardnpsmoodstavce"/>
    <w:link w:val="Podnadpis"/>
    <w:uiPriority w:val="11"/>
    <w:rsid w:val="00A31A25"/>
    <w:rPr>
      <w:color w:val="5A5A5A" w:themeColor="text1" w:themeTint="A5"/>
      <w:spacing w:val="10"/>
    </w:rPr>
  </w:style>
  <w:style w:type="character" w:styleId="Siln">
    <w:name w:val="Strong"/>
    <w:basedOn w:val="Standardnpsmoodstavce"/>
    <w:uiPriority w:val="22"/>
    <w:qFormat/>
    <w:rsid w:val="00A31A25"/>
    <w:rPr>
      <w:b/>
      <w:bCs/>
      <w:color w:val="000000" w:themeColor="text1"/>
    </w:rPr>
  </w:style>
  <w:style w:type="character" w:styleId="Zdraznn">
    <w:name w:val="Emphasis"/>
    <w:basedOn w:val="Standardnpsmoodstavce"/>
    <w:uiPriority w:val="20"/>
    <w:qFormat/>
    <w:rsid w:val="00A31A25"/>
    <w:rPr>
      <w:i/>
      <w:iCs/>
      <w:color w:val="auto"/>
    </w:rPr>
  </w:style>
  <w:style w:type="paragraph" w:styleId="Bezmezer">
    <w:name w:val="No Spacing"/>
    <w:uiPriority w:val="1"/>
    <w:qFormat/>
    <w:rsid w:val="00054A0B"/>
    <w:pPr>
      <w:spacing w:after="0" w:line="240" w:lineRule="auto"/>
    </w:pPr>
    <w:rPr>
      <w:rFonts w:ascii="Arial" w:hAnsi="Arial"/>
      <w:sz w:val="20"/>
      <w:szCs w:val="20"/>
    </w:rPr>
  </w:style>
  <w:style w:type="paragraph" w:styleId="Citt">
    <w:name w:val="Quote"/>
    <w:basedOn w:val="Normln"/>
    <w:next w:val="Normln"/>
    <w:link w:val="CittChar"/>
    <w:uiPriority w:val="29"/>
    <w:qFormat/>
    <w:rsid w:val="00A31A25"/>
    <w:pPr>
      <w:spacing w:before="160"/>
      <w:ind w:left="720" w:right="720"/>
    </w:pPr>
    <w:rPr>
      <w:i/>
      <w:iCs/>
      <w:color w:val="000000" w:themeColor="text1"/>
    </w:rPr>
  </w:style>
  <w:style w:type="character" w:customStyle="1" w:styleId="CittChar">
    <w:name w:val="Citát Char"/>
    <w:basedOn w:val="Standardnpsmoodstavce"/>
    <w:link w:val="Citt"/>
    <w:uiPriority w:val="29"/>
    <w:rsid w:val="00A31A25"/>
    <w:rPr>
      <w:i/>
      <w:iCs/>
      <w:color w:val="000000" w:themeColor="text1"/>
    </w:rPr>
  </w:style>
  <w:style w:type="paragraph" w:styleId="Vrazncitt">
    <w:name w:val="Intense Quote"/>
    <w:basedOn w:val="Normln"/>
    <w:next w:val="Normln"/>
    <w:link w:val="VrazncittChar"/>
    <w:uiPriority w:val="30"/>
    <w:qFormat/>
    <w:rsid w:val="00A31A2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sid w:val="00A31A25"/>
    <w:rPr>
      <w:color w:val="000000" w:themeColor="text1"/>
      <w:shd w:val="clear" w:color="auto" w:fill="F2F2F2" w:themeFill="background1" w:themeFillShade="F2"/>
    </w:rPr>
  </w:style>
  <w:style w:type="character" w:styleId="Zdraznnjemn">
    <w:name w:val="Subtle Emphasis"/>
    <w:basedOn w:val="Standardnpsmoodstavce"/>
    <w:uiPriority w:val="19"/>
    <w:qFormat/>
    <w:rsid w:val="00A31A25"/>
    <w:rPr>
      <w:i/>
      <w:iCs/>
      <w:color w:val="404040" w:themeColor="text1" w:themeTint="BF"/>
    </w:rPr>
  </w:style>
  <w:style w:type="character" w:styleId="Zdraznnintenzivn">
    <w:name w:val="Intense Emphasis"/>
    <w:basedOn w:val="Standardnpsmoodstavce"/>
    <w:uiPriority w:val="21"/>
    <w:qFormat/>
    <w:rsid w:val="00A31A25"/>
    <w:rPr>
      <w:b/>
      <w:bCs/>
      <w:i/>
      <w:iCs/>
      <w:caps/>
    </w:rPr>
  </w:style>
  <w:style w:type="character" w:styleId="Odkazjemn">
    <w:name w:val="Subtle Reference"/>
    <w:basedOn w:val="Standardnpsmoodstavce"/>
    <w:uiPriority w:val="31"/>
    <w:qFormat/>
    <w:rsid w:val="00A31A25"/>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A31A25"/>
    <w:rPr>
      <w:b/>
      <w:bCs/>
      <w:smallCaps/>
      <w:u w:val="single"/>
    </w:rPr>
  </w:style>
  <w:style w:type="character" w:styleId="Nzevknihy">
    <w:name w:val="Book Title"/>
    <w:basedOn w:val="Standardnpsmoodstavce"/>
    <w:uiPriority w:val="33"/>
    <w:qFormat/>
    <w:rsid w:val="00A31A25"/>
    <w:rPr>
      <w:b w:val="0"/>
      <w:bCs w:val="0"/>
      <w:smallCaps/>
      <w:spacing w:val="5"/>
    </w:rPr>
  </w:style>
  <w:style w:type="paragraph" w:styleId="Nadpisobsahu">
    <w:name w:val="TOC Heading"/>
    <w:basedOn w:val="Nadpis1"/>
    <w:next w:val="Normln"/>
    <w:uiPriority w:val="39"/>
    <w:unhideWhenUsed/>
    <w:qFormat/>
    <w:rsid w:val="00A31A25"/>
  </w:style>
  <w:style w:type="paragraph" w:styleId="Odstavecseseznamem">
    <w:name w:val="List Paragraph"/>
    <w:basedOn w:val="Normln"/>
    <w:uiPriority w:val="99"/>
    <w:qFormat/>
    <w:rsid w:val="00A31A25"/>
    <w:pPr>
      <w:ind w:left="720"/>
      <w:contextualSpacing/>
    </w:pPr>
  </w:style>
  <w:style w:type="paragraph" w:customStyle="1" w:styleId="Standard">
    <w:name w:val="Standard"/>
    <w:uiPriority w:val="99"/>
    <w:rsid w:val="00E7098C"/>
    <w:pPr>
      <w:suppressAutoHyphens/>
      <w:autoSpaceDN w:val="0"/>
      <w:spacing w:after="200" w:line="276" w:lineRule="auto"/>
      <w:textAlignment w:val="baseline"/>
    </w:pPr>
    <w:rPr>
      <w:rFonts w:ascii="Calibri" w:eastAsia="SimSun" w:hAnsi="Calibri" w:cs="Tahoma"/>
      <w:kern w:val="3"/>
    </w:rPr>
  </w:style>
  <w:style w:type="table" w:styleId="Svtlmkatabulky">
    <w:name w:val="Grid Table Light"/>
    <w:basedOn w:val="Normlntabulka"/>
    <w:uiPriority w:val="40"/>
    <w:rsid w:val="00A675A5"/>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E66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638A"/>
    <w:rPr>
      <w:rFonts w:ascii="Arial" w:hAnsi="Arial"/>
      <w:sz w:val="20"/>
    </w:rPr>
  </w:style>
  <w:style w:type="paragraph" w:styleId="Zpat">
    <w:name w:val="footer"/>
    <w:basedOn w:val="Normln"/>
    <w:link w:val="ZpatChar"/>
    <w:uiPriority w:val="99"/>
    <w:unhideWhenUsed/>
    <w:rsid w:val="00E66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638A"/>
    <w:rPr>
      <w:rFonts w:ascii="Arial" w:hAnsi="Arial"/>
      <w:sz w:val="20"/>
    </w:rPr>
  </w:style>
  <w:style w:type="table" w:styleId="Mkatabulky">
    <w:name w:val="Table Grid"/>
    <w:basedOn w:val="Normlntabulka"/>
    <w:uiPriority w:val="39"/>
    <w:rsid w:val="001C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C3C86"/>
    <w:pPr>
      <w:spacing w:after="100"/>
    </w:pPr>
  </w:style>
  <w:style w:type="paragraph" w:styleId="Obsah2">
    <w:name w:val="toc 2"/>
    <w:basedOn w:val="Normln"/>
    <w:next w:val="Normln"/>
    <w:autoRedefine/>
    <w:uiPriority w:val="39"/>
    <w:unhideWhenUsed/>
    <w:rsid w:val="001C3C86"/>
    <w:pPr>
      <w:spacing w:after="100"/>
      <w:ind w:left="200"/>
    </w:pPr>
  </w:style>
  <w:style w:type="paragraph" w:styleId="Obsah3">
    <w:name w:val="toc 3"/>
    <w:basedOn w:val="Normln"/>
    <w:next w:val="Normln"/>
    <w:autoRedefine/>
    <w:uiPriority w:val="39"/>
    <w:unhideWhenUsed/>
    <w:rsid w:val="001C3C86"/>
    <w:pPr>
      <w:spacing w:after="100"/>
      <w:ind w:left="400"/>
    </w:pPr>
  </w:style>
  <w:style w:type="character" w:styleId="Hypertextovodkaz">
    <w:name w:val="Hyperlink"/>
    <w:basedOn w:val="Standardnpsmoodstavce"/>
    <w:uiPriority w:val="99"/>
    <w:unhideWhenUsed/>
    <w:rsid w:val="001C3C86"/>
    <w:rPr>
      <w:color w:val="0563C1" w:themeColor="hyperlink"/>
      <w:u w:val="single"/>
    </w:rPr>
  </w:style>
  <w:style w:type="character" w:styleId="PromnnHTML">
    <w:name w:val="HTML Variable"/>
    <w:basedOn w:val="Standardnpsmoodstavce"/>
    <w:uiPriority w:val="99"/>
    <w:semiHidden/>
    <w:unhideWhenUsed/>
    <w:rsid w:val="00A95DAB"/>
    <w:rPr>
      <w:i/>
      <w:iCs/>
    </w:rPr>
  </w:style>
  <w:style w:type="numbering" w:customStyle="1" w:styleId="WWNum39">
    <w:name w:val="WWNum39"/>
    <w:rsid w:val="00E01522"/>
    <w:pPr>
      <w:numPr>
        <w:numId w:val="7"/>
      </w:numPr>
    </w:pPr>
  </w:style>
  <w:style w:type="paragraph" w:customStyle="1" w:styleId="l6">
    <w:name w:val="l6"/>
    <w:basedOn w:val="Normln"/>
    <w:rsid w:val="00C024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numbering" w:customStyle="1" w:styleId="WWNum40">
    <w:name w:val="WWNum40"/>
    <w:rsid w:val="00C96F27"/>
    <w:pPr>
      <w:numPr>
        <w:numId w:val="16"/>
      </w:numPr>
    </w:pPr>
  </w:style>
  <w:style w:type="numbering" w:customStyle="1" w:styleId="WWNum25">
    <w:name w:val="WWNum25"/>
    <w:rsid w:val="009A0928"/>
    <w:pPr>
      <w:numPr>
        <w:numId w:val="38"/>
      </w:numPr>
    </w:pPr>
  </w:style>
  <w:style w:type="numbering" w:customStyle="1" w:styleId="WWNum24">
    <w:name w:val="WWNum24"/>
    <w:rsid w:val="009A0928"/>
    <w:pPr>
      <w:numPr>
        <w:numId w:val="37"/>
      </w:numPr>
    </w:pPr>
  </w:style>
  <w:style w:type="numbering" w:customStyle="1" w:styleId="WWNum6">
    <w:name w:val="WWNum6"/>
    <w:rsid w:val="009A0928"/>
    <w:pPr>
      <w:numPr>
        <w:numId w:val="22"/>
      </w:numPr>
    </w:pPr>
  </w:style>
  <w:style w:type="numbering" w:customStyle="1" w:styleId="WWNum26">
    <w:name w:val="WWNum26"/>
    <w:rsid w:val="009A0928"/>
    <w:pPr>
      <w:numPr>
        <w:numId w:val="39"/>
      </w:numPr>
    </w:pPr>
  </w:style>
  <w:style w:type="numbering" w:customStyle="1" w:styleId="WWNum31">
    <w:name w:val="WWNum31"/>
    <w:rsid w:val="009A0928"/>
    <w:pPr>
      <w:numPr>
        <w:numId w:val="42"/>
      </w:numPr>
    </w:pPr>
  </w:style>
  <w:style w:type="numbering" w:customStyle="1" w:styleId="WWNum2">
    <w:name w:val="WWNum2"/>
    <w:rsid w:val="009A0928"/>
    <w:pPr>
      <w:numPr>
        <w:numId w:val="19"/>
      </w:numPr>
    </w:pPr>
  </w:style>
  <w:style w:type="numbering" w:customStyle="1" w:styleId="WWNum32">
    <w:name w:val="WWNum32"/>
    <w:rsid w:val="009A0928"/>
    <w:pPr>
      <w:numPr>
        <w:numId w:val="43"/>
      </w:numPr>
    </w:pPr>
  </w:style>
  <w:style w:type="numbering" w:customStyle="1" w:styleId="WWNum15">
    <w:name w:val="WWNum15"/>
    <w:rsid w:val="009A0928"/>
    <w:pPr>
      <w:numPr>
        <w:numId w:val="31"/>
      </w:numPr>
    </w:pPr>
  </w:style>
  <w:style w:type="numbering" w:customStyle="1" w:styleId="WWNum27">
    <w:name w:val="WWNum27"/>
    <w:rsid w:val="009A0928"/>
    <w:pPr>
      <w:numPr>
        <w:numId w:val="40"/>
      </w:numPr>
    </w:pPr>
  </w:style>
  <w:style w:type="numbering" w:customStyle="1" w:styleId="WWNum19">
    <w:name w:val="WWNum19"/>
    <w:rsid w:val="009A0928"/>
    <w:pPr>
      <w:numPr>
        <w:numId w:val="34"/>
      </w:numPr>
    </w:pPr>
  </w:style>
  <w:style w:type="numbering" w:customStyle="1" w:styleId="WWNum33">
    <w:name w:val="WWNum33"/>
    <w:rsid w:val="009A0928"/>
    <w:pPr>
      <w:numPr>
        <w:numId w:val="44"/>
      </w:numPr>
    </w:pPr>
  </w:style>
  <w:style w:type="numbering" w:customStyle="1" w:styleId="WWNum14">
    <w:name w:val="WWNum14"/>
    <w:rsid w:val="009A0928"/>
    <w:pPr>
      <w:numPr>
        <w:numId w:val="30"/>
      </w:numPr>
    </w:pPr>
  </w:style>
  <w:style w:type="numbering" w:customStyle="1" w:styleId="WWNum8">
    <w:name w:val="WWNum8"/>
    <w:rsid w:val="009A0928"/>
    <w:pPr>
      <w:numPr>
        <w:numId w:val="24"/>
      </w:numPr>
    </w:pPr>
  </w:style>
  <w:style w:type="numbering" w:customStyle="1" w:styleId="WWNum11">
    <w:name w:val="WWNum11"/>
    <w:rsid w:val="009A0928"/>
    <w:pPr>
      <w:numPr>
        <w:numId w:val="27"/>
      </w:numPr>
    </w:pPr>
  </w:style>
  <w:style w:type="numbering" w:customStyle="1" w:styleId="WWNum22">
    <w:name w:val="WWNum22"/>
    <w:rsid w:val="009A0928"/>
    <w:pPr>
      <w:numPr>
        <w:numId w:val="36"/>
      </w:numPr>
    </w:pPr>
  </w:style>
  <w:style w:type="numbering" w:customStyle="1" w:styleId="WWNum9">
    <w:name w:val="WWNum9"/>
    <w:rsid w:val="009A0928"/>
    <w:pPr>
      <w:numPr>
        <w:numId w:val="25"/>
      </w:numPr>
    </w:pPr>
  </w:style>
  <w:style w:type="numbering" w:customStyle="1" w:styleId="WWNum5">
    <w:name w:val="WWNum5"/>
    <w:rsid w:val="009A0928"/>
    <w:pPr>
      <w:numPr>
        <w:numId w:val="21"/>
      </w:numPr>
    </w:pPr>
  </w:style>
  <w:style w:type="numbering" w:customStyle="1" w:styleId="WWNum12">
    <w:name w:val="WWNum12"/>
    <w:rsid w:val="009A0928"/>
    <w:pPr>
      <w:numPr>
        <w:numId w:val="28"/>
      </w:numPr>
    </w:pPr>
  </w:style>
  <w:style w:type="numbering" w:customStyle="1" w:styleId="WWNum4">
    <w:name w:val="WWNum4"/>
    <w:rsid w:val="009A0928"/>
    <w:pPr>
      <w:numPr>
        <w:numId w:val="20"/>
      </w:numPr>
    </w:pPr>
  </w:style>
  <w:style w:type="numbering" w:customStyle="1" w:styleId="WWNum1">
    <w:name w:val="WWNum1"/>
    <w:rsid w:val="009A0928"/>
    <w:pPr>
      <w:numPr>
        <w:numId w:val="18"/>
      </w:numPr>
    </w:pPr>
  </w:style>
  <w:style w:type="numbering" w:customStyle="1" w:styleId="WWNum17">
    <w:name w:val="WWNum17"/>
    <w:rsid w:val="009A0928"/>
    <w:pPr>
      <w:numPr>
        <w:numId w:val="33"/>
      </w:numPr>
    </w:pPr>
  </w:style>
  <w:style w:type="numbering" w:customStyle="1" w:styleId="WWNum30">
    <w:name w:val="WWNum30"/>
    <w:rsid w:val="009A0928"/>
    <w:pPr>
      <w:numPr>
        <w:numId w:val="41"/>
      </w:numPr>
    </w:pPr>
  </w:style>
  <w:style w:type="numbering" w:customStyle="1" w:styleId="WWNum13">
    <w:name w:val="WWNum13"/>
    <w:rsid w:val="009A0928"/>
    <w:pPr>
      <w:numPr>
        <w:numId w:val="29"/>
      </w:numPr>
    </w:pPr>
  </w:style>
  <w:style w:type="numbering" w:customStyle="1" w:styleId="WWNum34">
    <w:name w:val="WWNum34"/>
    <w:rsid w:val="009A0928"/>
    <w:pPr>
      <w:numPr>
        <w:numId w:val="45"/>
      </w:numPr>
    </w:pPr>
  </w:style>
  <w:style w:type="numbering" w:customStyle="1" w:styleId="WWNum20">
    <w:name w:val="WWNum20"/>
    <w:rsid w:val="009A0928"/>
    <w:pPr>
      <w:numPr>
        <w:numId w:val="35"/>
      </w:numPr>
    </w:pPr>
  </w:style>
  <w:style w:type="numbering" w:customStyle="1" w:styleId="WWNum16">
    <w:name w:val="WWNum16"/>
    <w:rsid w:val="009A0928"/>
    <w:pPr>
      <w:numPr>
        <w:numId w:val="32"/>
      </w:numPr>
    </w:pPr>
  </w:style>
  <w:style w:type="numbering" w:customStyle="1" w:styleId="WWNum10">
    <w:name w:val="WWNum10"/>
    <w:rsid w:val="009A0928"/>
    <w:pPr>
      <w:numPr>
        <w:numId w:val="26"/>
      </w:numPr>
    </w:pPr>
  </w:style>
  <w:style w:type="numbering" w:customStyle="1" w:styleId="WWNum7">
    <w:name w:val="WWNum7"/>
    <w:rsid w:val="009A0928"/>
    <w:pPr>
      <w:numPr>
        <w:numId w:val="23"/>
      </w:numPr>
    </w:pPr>
  </w:style>
  <w:style w:type="paragraph" w:customStyle="1" w:styleId="Default">
    <w:name w:val="Default"/>
    <w:rsid w:val="00445972"/>
    <w:pPr>
      <w:autoSpaceDE w:val="0"/>
      <w:autoSpaceDN w:val="0"/>
      <w:adjustRightInd w:val="0"/>
      <w:spacing w:after="0" w:line="240" w:lineRule="auto"/>
    </w:pPr>
    <w:rPr>
      <w:rFonts w:ascii="Calibri" w:hAnsi="Calibri" w:cs="Calibri"/>
      <w:color w:val="000000"/>
      <w:sz w:val="24"/>
      <w:szCs w:val="24"/>
    </w:rPr>
  </w:style>
  <w:style w:type="paragraph" w:customStyle="1" w:styleId="l3">
    <w:name w:val="l3"/>
    <w:basedOn w:val="Normln"/>
    <w:rsid w:val="005E6508"/>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78150">
      <w:bodyDiv w:val="1"/>
      <w:marLeft w:val="0"/>
      <w:marRight w:val="0"/>
      <w:marTop w:val="0"/>
      <w:marBottom w:val="0"/>
      <w:divBdr>
        <w:top w:val="none" w:sz="0" w:space="0" w:color="auto"/>
        <w:left w:val="none" w:sz="0" w:space="0" w:color="auto"/>
        <w:bottom w:val="none" w:sz="0" w:space="0" w:color="auto"/>
        <w:right w:val="none" w:sz="0" w:space="0" w:color="auto"/>
      </w:divBdr>
    </w:div>
    <w:div w:id="614556464">
      <w:bodyDiv w:val="1"/>
      <w:marLeft w:val="0"/>
      <w:marRight w:val="0"/>
      <w:marTop w:val="0"/>
      <w:marBottom w:val="0"/>
      <w:divBdr>
        <w:top w:val="none" w:sz="0" w:space="0" w:color="auto"/>
        <w:left w:val="none" w:sz="0" w:space="0" w:color="auto"/>
        <w:bottom w:val="none" w:sz="0" w:space="0" w:color="auto"/>
        <w:right w:val="none" w:sz="0" w:space="0" w:color="auto"/>
      </w:divBdr>
    </w:div>
    <w:div w:id="856236292">
      <w:bodyDiv w:val="1"/>
      <w:marLeft w:val="0"/>
      <w:marRight w:val="0"/>
      <w:marTop w:val="0"/>
      <w:marBottom w:val="0"/>
      <w:divBdr>
        <w:top w:val="none" w:sz="0" w:space="0" w:color="auto"/>
        <w:left w:val="none" w:sz="0" w:space="0" w:color="auto"/>
        <w:bottom w:val="none" w:sz="0" w:space="0" w:color="auto"/>
        <w:right w:val="none" w:sz="0" w:space="0" w:color="auto"/>
      </w:divBdr>
    </w:div>
    <w:div w:id="1005593653">
      <w:bodyDiv w:val="1"/>
      <w:marLeft w:val="0"/>
      <w:marRight w:val="0"/>
      <w:marTop w:val="0"/>
      <w:marBottom w:val="0"/>
      <w:divBdr>
        <w:top w:val="none" w:sz="0" w:space="0" w:color="auto"/>
        <w:left w:val="none" w:sz="0" w:space="0" w:color="auto"/>
        <w:bottom w:val="none" w:sz="0" w:space="0" w:color="auto"/>
        <w:right w:val="none" w:sz="0" w:space="0" w:color="auto"/>
      </w:divBdr>
    </w:div>
    <w:div w:id="1268001246">
      <w:bodyDiv w:val="1"/>
      <w:marLeft w:val="0"/>
      <w:marRight w:val="0"/>
      <w:marTop w:val="0"/>
      <w:marBottom w:val="0"/>
      <w:divBdr>
        <w:top w:val="none" w:sz="0" w:space="0" w:color="auto"/>
        <w:left w:val="none" w:sz="0" w:space="0" w:color="auto"/>
        <w:bottom w:val="none" w:sz="0" w:space="0" w:color="auto"/>
        <w:right w:val="none" w:sz="0" w:space="0" w:color="auto"/>
      </w:divBdr>
    </w:div>
    <w:div w:id="1703286427">
      <w:bodyDiv w:val="1"/>
      <w:marLeft w:val="0"/>
      <w:marRight w:val="0"/>
      <w:marTop w:val="0"/>
      <w:marBottom w:val="0"/>
      <w:divBdr>
        <w:top w:val="none" w:sz="0" w:space="0" w:color="auto"/>
        <w:left w:val="none" w:sz="0" w:space="0" w:color="auto"/>
        <w:bottom w:val="none" w:sz="0" w:space="0" w:color="auto"/>
        <w:right w:val="none" w:sz="0" w:space="0" w:color="auto"/>
      </w:divBdr>
    </w:div>
    <w:div w:id="1715277664">
      <w:bodyDiv w:val="1"/>
      <w:marLeft w:val="0"/>
      <w:marRight w:val="0"/>
      <w:marTop w:val="0"/>
      <w:marBottom w:val="0"/>
      <w:divBdr>
        <w:top w:val="none" w:sz="0" w:space="0" w:color="auto"/>
        <w:left w:val="none" w:sz="0" w:space="0" w:color="auto"/>
        <w:bottom w:val="none" w:sz="0" w:space="0" w:color="auto"/>
        <w:right w:val="none" w:sz="0" w:space="0" w:color="auto"/>
      </w:divBdr>
    </w:div>
    <w:div w:id="1730495672">
      <w:bodyDiv w:val="1"/>
      <w:marLeft w:val="0"/>
      <w:marRight w:val="0"/>
      <w:marTop w:val="0"/>
      <w:marBottom w:val="0"/>
      <w:divBdr>
        <w:top w:val="none" w:sz="0" w:space="0" w:color="auto"/>
        <w:left w:val="none" w:sz="0" w:space="0" w:color="auto"/>
        <w:bottom w:val="none" w:sz="0" w:space="0" w:color="auto"/>
        <w:right w:val="none" w:sz="0" w:space="0" w:color="auto"/>
      </w:divBdr>
    </w:div>
    <w:div w:id="183999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A1A0B-714A-446D-887E-172CECF14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5</Pages>
  <Words>2224</Words>
  <Characters>13123</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dc:creator>
  <cp:keywords/>
  <dc:description/>
  <cp:lastModifiedBy>Markéta Maďarová</cp:lastModifiedBy>
  <cp:revision>22</cp:revision>
  <cp:lastPrinted>2022-01-11T09:26:00Z</cp:lastPrinted>
  <dcterms:created xsi:type="dcterms:W3CDTF">2020-03-13T15:48:00Z</dcterms:created>
  <dcterms:modified xsi:type="dcterms:W3CDTF">2022-01-11T09:26:00Z</dcterms:modified>
</cp:coreProperties>
</file>